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E3" w:rsidRPr="00883E21" w:rsidRDefault="00B905E3" w:rsidP="00883E21">
      <w:pPr>
        <w:spacing w:line="240" w:lineRule="auto"/>
        <w:jc w:val="center"/>
        <w:rPr>
          <w:rFonts w:ascii="Garamond" w:hAnsi="Garamond" w:cstheme="majorBidi"/>
          <w:b/>
          <w:bCs/>
          <w:sz w:val="44"/>
          <w:szCs w:val="44"/>
        </w:rPr>
      </w:pPr>
      <w:r w:rsidRPr="00883E21">
        <w:rPr>
          <w:rFonts w:ascii="Garamond" w:hAnsi="Garamond" w:cstheme="majorBidi"/>
          <w:b/>
          <w:bCs/>
          <w:sz w:val="44"/>
          <w:szCs w:val="44"/>
        </w:rPr>
        <w:t>« Le système de santé Algérien face à la transition sanitaire : prise en charge et financement »</w:t>
      </w:r>
    </w:p>
    <w:p w:rsidR="00B905E3" w:rsidRPr="00883E21" w:rsidRDefault="00B905E3" w:rsidP="00883E21">
      <w:pPr>
        <w:spacing w:after="0" w:line="240" w:lineRule="auto"/>
        <w:jc w:val="both"/>
        <w:rPr>
          <w:rFonts w:ascii="Garamond" w:hAnsi="Garamond" w:cstheme="majorBidi"/>
          <w:sz w:val="20"/>
          <w:szCs w:val="20"/>
        </w:rPr>
      </w:pPr>
    </w:p>
    <w:p w:rsidR="00CC029F" w:rsidRPr="00883E21" w:rsidRDefault="00CC029F" w:rsidP="00883E21">
      <w:pPr>
        <w:spacing w:line="240" w:lineRule="auto"/>
        <w:jc w:val="both"/>
        <w:rPr>
          <w:rFonts w:ascii="Garamond" w:hAnsi="Garamond" w:cstheme="majorBidi"/>
          <w:sz w:val="20"/>
          <w:szCs w:val="20"/>
        </w:rPr>
      </w:pPr>
    </w:p>
    <w:p w:rsidR="00CC029F" w:rsidRPr="00883E21" w:rsidRDefault="00CC029F" w:rsidP="00883E21">
      <w:pPr>
        <w:spacing w:line="240" w:lineRule="auto"/>
        <w:jc w:val="both"/>
        <w:rPr>
          <w:rFonts w:ascii="Garamond" w:hAnsi="Garamond" w:cstheme="majorBidi"/>
          <w:b/>
          <w:bCs/>
          <w:sz w:val="28"/>
          <w:szCs w:val="28"/>
        </w:rPr>
      </w:pPr>
      <w:r w:rsidRPr="00883E21">
        <w:rPr>
          <w:rFonts w:ascii="Garamond" w:hAnsi="Garamond" w:cstheme="majorBidi"/>
          <w:b/>
          <w:bCs/>
          <w:sz w:val="28"/>
          <w:szCs w:val="28"/>
        </w:rPr>
        <w:t>M</w:t>
      </w:r>
      <w:r w:rsidRPr="00883E21">
        <w:rPr>
          <w:rFonts w:ascii="Garamond" w:hAnsi="Garamond" w:cstheme="majorBidi"/>
          <w:b/>
          <w:bCs/>
          <w:sz w:val="28"/>
          <w:szCs w:val="28"/>
          <w:vertAlign w:val="superscript"/>
        </w:rPr>
        <w:t xml:space="preserve">me </w:t>
      </w:r>
      <w:r w:rsidR="00883E21" w:rsidRPr="00883E21">
        <w:rPr>
          <w:rFonts w:ascii="Garamond" w:hAnsi="Garamond" w:cstheme="majorBidi"/>
          <w:b/>
          <w:bCs/>
          <w:sz w:val="28"/>
          <w:szCs w:val="28"/>
        </w:rPr>
        <w:t>K</w:t>
      </w:r>
      <w:r w:rsidRPr="00883E21">
        <w:rPr>
          <w:rFonts w:ascii="Garamond" w:hAnsi="Garamond" w:cstheme="majorBidi"/>
          <w:b/>
          <w:bCs/>
          <w:sz w:val="28"/>
          <w:szCs w:val="28"/>
        </w:rPr>
        <w:t xml:space="preserve">houkha MEKALT, </w:t>
      </w:r>
      <w:r w:rsidRPr="00883E21">
        <w:rPr>
          <w:rFonts w:ascii="Garamond" w:hAnsi="Garamond" w:cstheme="majorBidi"/>
          <w:sz w:val="28"/>
          <w:szCs w:val="28"/>
        </w:rPr>
        <w:t>maître assistante à l’Université A-MIRA, Bejaia</w:t>
      </w:r>
      <w:r w:rsidRPr="00883E21">
        <w:rPr>
          <w:rFonts w:ascii="Garamond" w:hAnsi="Garamond" w:cstheme="majorBidi"/>
          <w:b/>
          <w:bCs/>
          <w:sz w:val="28"/>
          <w:szCs w:val="28"/>
        </w:rPr>
        <w:t xml:space="preserve">. </w:t>
      </w:r>
    </w:p>
    <w:p w:rsidR="00CC029F" w:rsidRPr="00883E21" w:rsidRDefault="00CC029F" w:rsidP="00883E21">
      <w:pPr>
        <w:spacing w:line="240" w:lineRule="auto"/>
        <w:jc w:val="both"/>
        <w:rPr>
          <w:rFonts w:ascii="Garamond" w:hAnsi="Garamond" w:cstheme="majorBidi"/>
          <w:sz w:val="28"/>
          <w:szCs w:val="28"/>
        </w:rPr>
      </w:pPr>
      <w:r w:rsidRPr="00883E21">
        <w:rPr>
          <w:rFonts w:ascii="Garamond" w:hAnsi="Garamond" w:cstheme="majorBidi"/>
          <w:sz w:val="28"/>
          <w:szCs w:val="28"/>
        </w:rPr>
        <w:t>P</w:t>
      </w:r>
      <w:r w:rsidRPr="00883E21">
        <w:rPr>
          <w:rFonts w:ascii="Garamond" w:hAnsi="Garamond" w:cstheme="majorBidi"/>
          <w:sz w:val="28"/>
          <w:szCs w:val="28"/>
          <w:vertAlign w:val="superscript"/>
        </w:rPr>
        <w:t>r</w:t>
      </w:r>
      <w:r w:rsidRPr="00883E21">
        <w:rPr>
          <w:rFonts w:ascii="Garamond" w:hAnsi="Garamond" w:cstheme="majorBidi"/>
          <w:sz w:val="28"/>
          <w:szCs w:val="28"/>
        </w:rPr>
        <w:t xml:space="preserve"> Brahim</w:t>
      </w:r>
      <w:r w:rsidRPr="00883E21">
        <w:rPr>
          <w:rFonts w:ascii="Garamond" w:hAnsi="Garamond" w:cstheme="majorBidi"/>
          <w:b/>
          <w:bCs/>
          <w:sz w:val="28"/>
          <w:szCs w:val="28"/>
        </w:rPr>
        <w:t xml:space="preserve"> BRAHAMIA</w:t>
      </w:r>
      <w:r w:rsidRPr="00883E21">
        <w:rPr>
          <w:rFonts w:ascii="Garamond" w:hAnsi="Garamond" w:cstheme="majorBidi"/>
          <w:sz w:val="28"/>
          <w:szCs w:val="28"/>
        </w:rPr>
        <w:t>, professeur à l’université MENTOURI, Constanntine.</w:t>
      </w:r>
    </w:p>
    <w:p w:rsidR="00883E21" w:rsidRPr="0011416E" w:rsidRDefault="00883E21" w:rsidP="00883E21">
      <w:pPr>
        <w:spacing w:line="240" w:lineRule="auto"/>
        <w:jc w:val="both"/>
        <w:rPr>
          <w:rFonts w:ascii="Garamond" w:hAnsi="Garamond" w:cstheme="majorBidi"/>
          <w:sz w:val="20"/>
          <w:szCs w:val="20"/>
        </w:rPr>
      </w:pPr>
      <w:r w:rsidRPr="0011416E">
        <w:rPr>
          <w:rFonts w:ascii="Garamond" w:hAnsi="Garamond" w:cstheme="majorBidi"/>
          <w:sz w:val="20"/>
          <w:szCs w:val="20"/>
        </w:rPr>
        <w:t xml:space="preserve">Email : </w:t>
      </w:r>
      <w:hyperlink r:id="rId8" w:history="1">
        <w:r w:rsidRPr="0011416E">
          <w:rPr>
            <w:rStyle w:val="Lienhypertexte"/>
            <w:rFonts w:ascii="Garamond" w:hAnsi="Garamond" w:cstheme="majorBidi"/>
            <w:color w:val="auto"/>
            <w:sz w:val="20"/>
            <w:szCs w:val="20"/>
            <w:u w:val="none"/>
          </w:rPr>
          <w:t>khoukha_a@yahoo.fr</w:t>
        </w:r>
      </w:hyperlink>
    </w:p>
    <w:p w:rsidR="00CC029F" w:rsidRPr="00883E21" w:rsidRDefault="00CC029F" w:rsidP="00883E21">
      <w:pPr>
        <w:pStyle w:val="Default"/>
        <w:jc w:val="both"/>
        <w:rPr>
          <w:rFonts w:ascii="Garamond" w:hAnsi="Garamond" w:cstheme="majorBidi"/>
          <w:sz w:val="20"/>
          <w:szCs w:val="20"/>
        </w:rPr>
      </w:pPr>
      <w:r w:rsidRPr="00883E21">
        <w:rPr>
          <w:rFonts w:ascii="Garamond" w:hAnsi="Garamond" w:cstheme="majorBidi"/>
          <w:sz w:val="20"/>
          <w:szCs w:val="20"/>
        </w:rPr>
        <w:t xml:space="preserve">Email : </w:t>
      </w:r>
      <w:r w:rsidRPr="00883E21">
        <w:rPr>
          <w:rFonts w:ascii="Garamond" w:hAnsi="Garamond" w:cstheme="majorBidi"/>
          <w:color w:val="auto"/>
          <w:sz w:val="20"/>
          <w:szCs w:val="20"/>
        </w:rPr>
        <w:t>brahamia@gmail.com</w:t>
      </w:r>
    </w:p>
    <w:p w:rsidR="00CC029F" w:rsidRPr="00883E21" w:rsidRDefault="00CC029F" w:rsidP="00883E21">
      <w:pPr>
        <w:spacing w:after="0" w:line="240" w:lineRule="auto"/>
        <w:jc w:val="both"/>
        <w:rPr>
          <w:rFonts w:ascii="Garamond" w:hAnsi="Garamond" w:cstheme="majorBidi"/>
          <w:sz w:val="20"/>
          <w:szCs w:val="20"/>
        </w:rPr>
      </w:pPr>
    </w:p>
    <w:p w:rsidR="00883E21" w:rsidRPr="00883E21" w:rsidRDefault="00883E21" w:rsidP="00883E21">
      <w:pPr>
        <w:spacing w:after="0" w:line="240" w:lineRule="auto"/>
        <w:jc w:val="both"/>
        <w:rPr>
          <w:rFonts w:ascii="Garamond" w:hAnsi="Garamond" w:cstheme="majorBidi"/>
          <w:sz w:val="20"/>
          <w:szCs w:val="20"/>
        </w:rPr>
      </w:pPr>
    </w:p>
    <w:p w:rsidR="00883E21" w:rsidRPr="00883E21" w:rsidRDefault="00883E21" w:rsidP="00883E21">
      <w:pPr>
        <w:spacing w:line="240" w:lineRule="auto"/>
        <w:jc w:val="both"/>
        <w:rPr>
          <w:rFonts w:ascii="Garamond" w:hAnsi="Garamond" w:cstheme="majorBidi"/>
          <w:b/>
          <w:bCs/>
          <w:sz w:val="20"/>
          <w:szCs w:val="20"/>
        </w:rPr>
      </w:pPr>
      <w:r w:rsidRPr="00883E21">
        <w:rPr>
          <w:rFonts w:ascii="Garamond" w:hAnsi="Garamond" w:cstheme="majorBidi"/>
          <w:b/>
          <w:bCs/>
          <w:sz w:val="20"/>
          <w:szCs w:val="20"/>
        </w:rPr>
        <w:t>Résumé :</w:t>
      </w:r>
    </w:p>
    <w:p w:rsidR="00883E21" w:rsidRPr="00883E21" w:rsidRDefault="00883E21" w:rsidP="00883E21">
      <w:pPr>
        <w:spacing w:line="240" w:lineRule="auto"/>
        <w:jc w:val="both"/>
        <w:rPr>
          <w:rFonts w:ascii="Garamond" w:hAnsi="Garamond" w:cstheme="majorBidi"/>
          <w:sz w:val="20"/>
          <w:szCs w:val="20"/>
        </w:rPr>
      </w:pPr>
      <w:r w:rsidRPr="00883E21">
        <w:rPr>
          <w:rFonts w:ascii="Garamond" w:hAnsi="Garamond" w:cstheme="majorBidi"/>
          <w:sz w:val="20"/>
          <w:szCs w:val="20"/>
        </w:rPr>
        <w:t>Le système de santé Algérien subi depuis 30 ans les conséquences d’une transition sanitaire accélérée, ayant modifié le schéma morbide de la population. On assiste aujourd’hui à une double morbidité caractérisée par la persistance des maladies transmissibles et l’émergence des maladies chroniques qui touchent près de 60% de la population. Une situation favorisée par une transition démographique caractérisée par le vieillissement de l’urbanisation accrue. Cette situation aura pour conséquence une transition socio-économique marquée par la baisse de la population active et l’amélioration de l’IDH. L’ensemble de ces facteurs pèsent lourdement sur les dépenses de santé et sur le besoin accru de prise en charge des malades, notamment des maladies chroniques nécessitant une longue et couteuse prise en charge.</w:t>
      </w:r>
    </w:p>
    <w:p w:rsidR="00883E21" w:rsidRPr="00883E21" w:rsidRDefault="00883E21" w:rsidP="00883E21">
      <w:pPr>
        <w:spacing w:line="240" w:lineRule="auto"/>
        <w:jc w:val="both"/>
        <w:rPr>
          <w:rFonts w:ascii="Garamond" w:hAnsi="Garamond" w:cstheme="majorBidi"/>
          <w:b/>
          <w:bCs/>
          <w:sz w:val="20"/>
          <w:szCs w:val="20"/>
        </w:rPr>
      </w:pPr>
      <w:r w:rsidRPr="00883E21">
        <w:rPr>
          <w:rFonts w:ascii="Garamond" w:hAnsi="Garamond" w:cstheme="majorBidi"/>
          <w:b/>
          <w:bCs/>
          <w:sz w:val="20"/>
          <w:szCs w:val="20"/>
        </w:rPr>
        <w:t xml:space="preserve">Mots clés : </w:t>
      </w:r>
    </w:p>
    <w:p w:rsidR="00883E21" w:rsidRPr="00883E21" w:rsidRDefault="00883E21" w:rsidP="00883E21">
      <w:pPr>
        <w:spacing w:line="240" w:lineRule="auto"/>
        <w:jc w:val="both"/>
        <w:rPr>
          <w:rFonts w:ascii="Garamond" w:hAnsi="Garamond" w:cstheme="majorBidi"/>
          <w:sz w:val="20"/>
          <w:szCs w:val="20"/>
        </w:rPr>
      </w:pPr>
      <w:r w:rsidRPr="00883E21">
        <w:rPr>
          <w:rFonts w:ascii="Garamond" w:hAnsi="Garamond" w:cstheme="majorBidi"/>
          <w:sz w:val="20"/>
          <w:szCs w:val="20"/>
        </w:rPr>
        <w:t>Algérie, transition sanitaire, offre de soins, dépenses de santé, sécurité sociale.</w:t>
      </w:r>
    </w:p>
    <w:p w:rsidR="00883E21" w:rsidRPr="00883E21" w:rsidRDefault="00883E21" w:rsidP="00883E21">
      <w:pPr>
        <w:spacing w:line="240" w:lineRule="auto"/>
        <w:jc w:val="both"/>
        <w:rPr>
          <w:rFonts w:ascii="Garamond" w:hAnsi="Garamond" w:cstheme="majorBidi"/>
          <w:sz w:val="20"/>
          <w:szCs w:val="20"/>
        </w:rPr>
      </w:pPr>
    </w:p>
    <w:p w:rsidR="00883E21" w:rsidRPr="00883E21" w:rsidRDefault="00883E21" w:rsidP="00883E21">
      <w:pPr>
        <w:spacing w:line="240" w:lineRule="auto"/>
        <w:jc w:val="both"/>
        <w:rPr>
          <w:rFonts w:ascii="Garamond" w:hAnsi="Garamond" w:cstheme="majorBidi"/>
          <w:b/>
          <w:bCs/>
          <w:sz w:val="20"/>
          <w:szCs w:val="20"/>
        </w:rPr>
      </w:pPr>
      <w:r w:rsidRPr="00883E21">
        <w:rPr>
          <w:rFonts w:ascii="Garamond" w:hAnsi="Garamond" w:cstheme="majorBidi"/>
          <w:b/>
          <w:bCs/>
          <w:sz w:val="20"/>
          <w:szCs w:val="20"/>
        </w:rPr>
        <w:t xml:space="preserve">Abstract </w:t>
      </w:r>
    </w:p>
    <w:p w:rsidR="00883E21" w:rsidRPr="00883E21" w:rsidRDefault="00883E21" w:rsidP="00883E21">
      <w:pPr>
        <w:spacing w:line="240" w:lineRule="auto"/>
        <w:jc w:val="both"/>
        <w:rPr>
          <w:rFonts w:ascii="Garamond" w:hAnsi="Garamond" w:cstheme="majorBidi"/>
          <w:sz w:val="20"/>
          <w:szCs w:val="20"/>
        </w:rPr>
      </w:pPr>
      <w:r w:rsidRPr="00883E21">
        <w:rPr>
          <w:rFonts w:ascii="Garamond" w:hAnsi="Garamond" w:cstheme="majorBidi"/>
          <w:sz w:val="20"/>
          <w:szCs w:val="20"/>
        </w:rPr>
        <w:t>In the last 30 years, the algerian health care system has sees the consequence of an accelerated medical transition, which has modified the morbid diagram of the population.</w:t>
      </w:r>
    </w:p>
    <w:p w:rsidR="00883E21" w:rsidRPr="00883E21" w:rsidRDefault="00883E21" w:rsidP="00883E21">
      <w:pPr>
        <w:spacing w:line="240" w:lineRule="auto"/>
        <w:jc w:val="both"/>
        <w:rPr>
          <w:rFonts w:ascii="Garamond" w:hAnsi="Garamond" w:cstheme="majorBidi"/>
          <w:sz w:val="20"/>
          <w:szCs w:val="20"/>
        </w:rPr>
      </w:pPr>
      <w:r w:rsidRPr="00883E21">
        <w:rPr>
          <w:rFonts w:ascii="Garamond" w:hAnsi="Garamond" w:cstheme="majorBidi"/>
          <w:sz w:val="20"/>
          <w:szCs w:val="20"/>
        </w:rPr>
        <w:t>One witnesses today a double morbidity characterized by the persistance of the communicable diseases and the emergence of chronic diseases which touch nearly 60% of the population.</w:t>
      </w:r>
    </w:p>
    <w:p w:rsidR="00883E21" w:rsidRPr="00883E21" w:rsidRDefault="00883E21" w:rsidP="00883E21">
      <w:pPr>
        <w:spacing w:line="240" w:lineRule="auto"/>
        <w:jc w:val="both"/>
        <w:rPr>
          <w:rFonts w:ascii="Garamond" w:hAnsi="Garamond" w:cstheme="majorBidi"/>
          <w:sz w:val="20"/>
          <w:szCs w:val="20"/>
        </w:rPr>
      </w:pPr>
      <w:r w:rsidRPr="00883E21">
        <w:rPr>
          <w:rFonts w:ascii="Garamond" w:hAnsi="Garamond" w:cstheme="majorBidi"/>
          <w:sz w:val="20"/>
          <w:szCs w:val="20"/>
        </w:rPr>
        <w:t xml:space="preserve">The situation is supported by a demographic transition characterized by ageing from increased urbanisation. This situation will have as a conséquence a socio-economic transition marked by the fall from the working population and the improvement of the </w:t>
      </w:r>
      <w:r w:rsidRPr="00883E21">
        <w:rPr>
          <w:rFonts w:ascii="Garamond" w:hAnsi="Garamond" w:cstheme="majorBidi"/>
          <w:sz w:val="20"/>
          <w:szCs w:val="20"/>
        </w:rPr>
        <w:tab/>
        <w:t xml:space="preserve">IDH. These factors weigh heavily on health expenditure and the needed increased to assume responsibility of the patients, in particular of chronic diseases which require long and expensive medical costs which need to be covered. </w:t>
      </w:r>
    </w:p>
    <w:p w:rsidR="00883E21" w:rsidRPr="00883E21" w:rsidRDefault="00883E21" w:rsidP="00883E21">
      <w:pPr>
        <w:spacing w:line="240" w:lineRule="auto"/>
        <w:jc w:val="both"/>
        <w:rPr>
          <w:rFonts w:ascii="Garamond" w:hAnsi="Garamond" w:cstheme="majorBidi"/>
          <w:b/>
          <w:bCs/>
          <w:sz w:val="20"/>
          <w:szCs w:val="20"/>
        </w:rPr>
      </w:pPr>
      <w:r w:rsidRPr="00883E21">
        <w:rPr>
          <w:rFonts w:ascii="Garamond" w:hAnsi="Garamond" w:cstheme="majorBidi"/>
          <w:b/>
          <w:bCs/>
          <w:sz w:val="20"/>
          <w:szCs w:val="20"/>
        </w:rPr>
        <w:t>Key words :</w:t>
      </w:r>
    </w:p>
    <w:p w:rsidR="00883E21" w:rsidRPr="00883E21" w:rsidRDefault="00883E21" w:rsidP="00883E21">
      <w:pPr>
        <w:spacing w:line="240" w:lineRule="auto"/>
        <w:jc w:val="both"/>
        <w:rPr>
          <w:rFonts w:ascii="Garamond" w:hAnsi="Garamond" w:cstheme="majorBidi"/>
          <w:sz w:val="20"/>
          <w:szCs w:val="20"/>
        </w:rPr>
      </w:pPr>
      <w:r w:rsidRPr="00883E21">
        <w:rPr>
          <w:rFonts w:ascii="Garamond" w:hAnsi="Garamond" w:cstheme="majorBidi"/>
          <w:sz w:val="20"/>
          <w:szCs w:val="20"/>
        </w:rPr>
        <w:t>Algeria, medical transition, offer of care, health expenditure, social security.</w:t>
      </w:r>
    </w:p>
    <w:p w:rsidR="00883E21" w:rsidRDefault="00883E21" w:rsidP="00883E21">
      <w:pPr>
        <w:spacing w:after="0" w:line="240" w:lineRule="auto"/>
        <w:jc w:val="both"/>
        <w:rPr>
          <w:rFonts w:ascii="Garamond" w:hAnsi="Garamond" w:cstheme="majorBidi"/>
          <w:sz w:val="20"/>
          <w:szCs w:val="20"/>
        </w:rPr>
      </w:pPr>
    </w:p>
    <w:p w:rsidR="00262D32" w:rsidRDefault="00262D32" w:rsidP="00883E21">
      <w:pPr>
        <w:spacing w:after="0" w:line="240" w:lineRule="auto"/>
        <w:jc w:val="both"/>
        <w:rPr>
          <w:rFonts w:ascii="Garamond" w:hAnsi="Garamond" w:cstheme="majorBidi"/>
          <w:sz w:val="20"/>
          <w:szCs w:val="20"/>
        </w:rPr>
      </w:pPr>
    </w:p>
    <w:p w:rsidR="00262D32" w:rsidRDefault="00262D32" w:rsidP="00883E21">
      <w:pPr>
        <w:spacing w:after="0" w:line="240" w:lineRule="auto"/>
        <w:jc w:val="both"/>
        <w:rPr>
          <w:rFonts w:ascii="Garamond" w:hAnsi="Garamond" w:cstheme="majorBidi"/>
          <w:sz w:val="20"/>
          <w:szCs w:val="20"/>
        </w:rPr>
      </w:pPr>
    </w:p>
    <w:p w:rsidR="00262D32" w:rsidRDefault="00262D32" w:rsidP="00883E21">
      <w:pPr>
        <w:spacing w:after="0" w:line="240" w:lineRule="auto"/>
        <w:jc w:val="both"/>
        <w:rPr>
          <w:rFonts w:ascii="Garamond" w:hAnsi="Garamond" w:cstheme="majorBidi"/>
          <w:sz w:val="20"/>
          <w:szCs w:val="20"/>
        </w:rPr>
      </w:pPr>
    </w:p>
    <w:p w:rsidR="00262D32" w:rsidRDefault="00262D32" w:rsidP="00883E21">
      <w:pPr>
        <w:spacing w:after="0" w:line="240" w:lineRule="auto"/>
        <w:jc w:val="both"/>
        <w:rPr>
          <w:rFonts w:ascii="Garamond" w:hAnsi="Garamond" w:cstheme="majorBidi"/>
          <w:sz w:val="20"/>
          <w:szCs w:val="20"/>
        </w:rPr>
      </w:pPr>
    </w:p>
    <w:p w:rsidR="00262D32" w:rsidRDefault="00262D32" w:rsidP="00883E21">
      <w:pPr>
        <w:spacing w:after="0" w:line="240" w:lineRule="auto"/>
        <w:jc w:val="both"/>
        <w:rPr>
          <w:rFonts w:ascii="Garamond" w:hAnsi="Garamond" w:cstheme="majorBidi"/>
          <w:sz w:val="20"/>
          <w:szCs w:val="20"/>
        </w:rPr>
      </w:pPr>
    </w:p>
    <w:p w:rsidR="00262D32" w:rsidRDefault="00262D32" w:rsidP="00883E21">
      <w:pPr>
        <w:spacing w:after="0" w:line="240" w:lineRule="auto"/>
        <w:jc w:val="both"/>
        <w:rPr>
          <w:rFonts w:ascii="Garamond" w:hAnsi="Garamond" w:cstheme="majorBidi"/>
          <w:sz w:val="20"/>
          <w:szCs w:val="20"/>
        </w:rPr>
      </w:pPr>
    </w:p>
    <w:p w:rsidR="00262D32" w:rsidRDefault="00262D32" w:rsidP="00883E21">
      <w:pPr>
        <w:spacing w:after="0" w:line="240" w:lineRule="auto"/>
        <w:jc w:val="both"/>
        <w:rPr>
          <w:rFonts w:ascii="Garamond" w:hAnsi="Garamond" w:cstheme="majorBidi"/>
          <w:sz w:val="20"/>
          <w:szCs w:val="20"/>
        </w:rPr>
      </w:pPr>
    </w:p>
    <w:p w:rsidR="00160A84" w:rsidRPr="00883E21" w:rsidRDefault="00160A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lastRenderedPageBreak/>
        <w:t>L’Algérie subi depuis 30 ans les conséquences d’une transition sanitaire accélérée, avec la combinaison des 3 transitions : une transition épidémiologique avec un recul spectaculaire des maladies endémiques et une montée des maladies chroniques ; une transition démographique avec l’augmentation de l’espérance de vie et le vieillissement de la population; et une transition socio-économique avec un changement dans le mode de vie et une progression de la sédentarité.</w:t>
      </w:r>
    </w:p>
    <w:p w:rsidR="00160A84" w:rsidRPr="00883E21" w:rsidRDefault="00160A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Les maladies transmissibles ont régressé sensiblement, certaines ont même été éradiquées en l’occurrence les maladies à transmission hydriques (à l’exception des toxico-infections alimentaires), les maladies bénéficiant d’un programme élargi de vaccination (sauf la tuberculose) et  les maladies à transmission vectorielle, d’autres persistent encore à l’égard des zoonoses et des maladies sexuellement transmissibles, qui ne cessent de faire des ravages dans le pays.</w:t>
      </w:r>
    </w:p>
    <w:p w:rsidR="00160A84" w:rsidRPr="00883E21" w:rsidRDefault="00160A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La société algérienne a subi plusieurs mutations, d’abord l’allongement de l’espérance de vie à la naissance passée de 42 ans en 1950 à près de 75 ans en 2014, la dégradation de l’hygiène alimentaire et de vie notamment en ce qui concerne la consommation d’alcool et du tabac où, l’on estime que près du tiers de la population consomme du tabac selon les données officielles en 2011 et 0,7 litres d’alcool sont consommés par habitant en 2013 selon l’OMS, faisant de l’algérien le premier consommateur d’alcool au Maghreb. S’agissant de  l’urbanisation, elle est passée de 30% de la population  en 1960 à plus de 75% en 2014 selon la banque mondiale avec toutes ses conséquences sur le stress et la pratique du sport. En plus de ces facteurs, la baisse de la fécondité passé de près de 7 enfants par femme en 1950 à moins de 2 enfants en 2014 ont conduit au développement des maladies chroniques qui touchent près de 60% des algériens, maladies nécessitant une prise en charge longue et couteuse.</w:t>
      </w:r>
    </w:p>
    <w:p w:rsidR="00160A84" w:rsidRPr="00883E21" w:rsidRDefault="00160A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De ce fait, le système de santé algérien se trouve contraint de faire face à des coûts de prise en charge importants, mais surtout doit adapter son offre de soins à la nouvelle demande en termes de personnel et de structures sanitaires.</w:t>
      </w:r>
    </w:p>
    <w:p w:rsidR="00160A84" w:rsidRPr="00883E21" w:rsidRDefault="00160A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La transition socio-économique se manifeste  notamment par une augmentation de l’Indice de développement Humain (IDH) passé de 0,5 en 1980 à plus de 0,7 en 2014, ce qui a eu pour conséquence l’augmentation des dépenses de santé.</w:t>
      </w:r>
    </w:p>
    <w:p w:rsidR="00160A84" w:rsidRPr="00883E21" w:rsidRDefault="00160A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La problématique du financement du système de santé est largement posée, notamment avec les prévisions à la baisse de la population active et la hausse de la population âgée de plus de 60 ans pour représenter près du quart de la population totale d’ici 2030 selon les nations unies. </w:t>
      </w:r>
    </w:p>
    <w:p w:rsidR="00160A84" w:rsidRPr="00883E21" w:rsidRDefault="00160A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Le système de santé algérien et surtout le système de sécurité sociale doivent résoudre plusieurs contraintes principalement l’augmentation des dépenses de santé et la répartition géographique de l’offre de soins afin d’assurer un meilleur accès aux soins. </w:t>
      </w:r>
    </w:p>
    <w:p w:rsidR="00160A84" w:rsidRPr="00883E21" w:rsidRDefault="00160A84" w:rsidP="00883E21">
      <w:pPr>
        <w:spacing w:after="0" w:line="240" w:lineRule="auto"/>
        <w:jc w:val="both"/>
        <w:rPr>
          <w:rFonts w:ascii="Garamond" w:hAnsi="Garamond" w:cstheme="majorBidi"/>
          <w:sz w:val="20"/>
          <w:szCs w:val="20"/>
        </w:rPr>
      </w:pPr>
    </w:p>
    <w:p w:rsidR="00160A84" w:rsidRPr="00883E21" w:rsidRDefault="00160A84" w:rsidP="00883E21">
      <w:pPr>
        <w:pStyle w:val="Paragraphedeliste"/>
        <w:numPr>
          <w:ilvl w:val="0"/>
          <w:numId w:val="5"/>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t>La transition épidémiologique :</w:t>
      </w:r>
    </w:p>
    <w:p w:rsidR="00160A84" w:rsidRPr="00883E21" w:rsidRDefault="00160A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Marquée par l’éradication des maladies transmissibles ou presque, et l’émergence des maladies chroniques qui touchent près de 60% de la population selon le ministère de la santé, de la population et de la réforme hospitalière (MSPRH).</w:t>
      </w:r>
    </w:p>
    <w:p w:rsidR="00160A84" w:rsidRPr="00262D32" w:rsidRDefault="00262D32" w:rsidP="00262D32">
      <w:pPr>
        <w:spacing w:after="0" w:line="240" w:lineRule="auto"/>
        <w:ind w:left="360"/>
        <w:jc w:val="both"/>
        <w:rPr>
          <w:rFonts w:ascii="Garamond" w:hAnsi="Garamond" w:cstheme="majorBidi"/>
          <w:b/>
          <w:bCs/>
          <w:sz w:val="20"/>
          <w:szCs w:val="20"/>
        </w:rPr>
      </w:pPr>
      <w:r>
        <w:rPr>
          <w:rFonts w:ascii="Garamond" w:hAnsi="Garamond" w:cstheme="majorBidi"/>
          <w:b/>
          <w:bCs/>
          <w:sz w:val="20"/>
          <w:szCs w:val="20"/>
        </w:rPr>
        <w:t xml:space="preserve">A.1. </w:t>
      </w:r>
      <w:r w:rsidR="00160A84" w:rsidRPr="00262D32">
        <w:rPr>
          <w:rFonts w:ascii="Garamond" w:hAnsi="Garamond" w:cstheme="majorBidi"/>
          <w:b/>
          <w:bCs/>
          <w:sz w:val="20"/>
          <w:szCs w:val="20"/>
        </w:rPr>
        <w:t xml:space="preserve">Les maladies transmissibles </w:t>
      </w:r>
    </w:p>
    <w:p w:rsidR="00160A84" w:rsidRPr="00883E21" w:rsidRDefault="00160A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On distingue 5 catégories de maladies : </w:t>
      </w:r>
    </w:p>
    <w:p w:rsidR="00160A84" w:rsidRPr="00883E21" w:rsidRDefault="00160A84" w:rsidP="00883E21">
      <w:pPr>
        <w:pStyle w:val="Paragraphedeliste"/>
        <w:numPr>
          <w:ilvl w:val="0"/>
          <w:numId w:val="6"/>
        </w:numPr>
        <w:spacing w:after="0" w:line="240" w:lineRule="auto"/>
        <w:jc w:val="both"/>
        <w:rPr>
          <w:rFonts w:ascii="Garamond" w:hAnsi="Garamond" w:cstheme="majorBidi"/>
          <w:sz w:val="20"/>
          <w:szCs w:val="20"/>
        </w:rPr>
      </w:pPr>
      <w:r w:rsidRPr="00883E21">
        <w:rPr>
          <w:rFonts w:ascii="Garamond" w:hAnsi="Garamond" w:cstheme="majorBidi"/>
          <w:sz w:val="20"/>
          <w:szCs w:val="20"/>
        </w:rPr>
        <w:t>Les maladies à transmission hydrique (MTH),</w:t>
      </w:r>
    </w:p>
    <w:p w:rsidR="00160A84" w:rsidRPr="00883E21" w:rsidRDefault="00160A84" w:rsidP="00883E21">
      <w:pPr>
        <w:pStyle w:val="Paragraphedeliste"/>
        <w:numPr>
          <w:ilvl w:val="0"/>
          <w:numId w:val="6"/>
        </w:numPr>
        <w:spacing w:after="0" w:line="240" w:lineRule="auto"/>
        <w:jc w:val="both"/>
        <w:rPr>
          <w:rFonts w:ascii="Garamond" w:hAnsi="Garamond" w:cstheme="majorBidi"/>
          <w:sz w:val="20"/>
          <w:szCs w:val="20"/>
        </w:rPr>
      </w:pPr>
      <w:r w:rsidRPr="00883E21">
        <w:rPr>
          <w:rFonts w:ascii="Garamond" w:hAnsi="Garamond" w:cstheme="majorBidi"/>
          <w:sz w:val="20"/>
          <w:szCs w:val="20"/>
        </w:rPr>
        <w:t>Les maladies bénéficiant de programme élargi de vaccination (MPEV),</w:t>
      </w:r>
    </w:p>
    <w:p w:rsidR="00160A84" w:rsidRPr="00883E21" w:rsidRDefault="00160A84" w:rsidP="00883E21">
      <w:pPr>
        <w:pStyle w:val="Paragraphedeliste"/>
        <w:numPr>
          <w:ilvl w:val="0"/>
          <w:numId w:val="6"/>
        </w:numPr>
        <w:spacing w:after="0" w:line="240" w:lineRule="auto"/>
        <w:jc w:val="both"/>
        <w:rPr>
          <w:rFonts w:ascii="Garamond" w:hAnsi="Garamond" w:cstheme="majorBidi"/>
          <w:sz w:val="20"/>
          <w:szCs w:val="20"/>
        </w:rPr>
      </w:pPr>
      <w:r w:rsidRPr="00883E21">
        <w:rPr>
          <w:rFonts w:ascii="Garamond" w:hAnsi="Garamond" w:cstheme="majorBidi"/>
          <w:sz w:val="20"/>
          <w:szCs w:val="20"/>
        </w:rPr>
        <w:t>Les maladies à transmission vectorielle,</w:t>
      </w:r>
    </w:p>
    <w:p w:rsidR="00160A84" w:rsidRPr="00883E21" w:rsidRDefault="00160A84" w:rsidP="00883E21">
      <w:pPr>
        <w:pStyle w:val="Paragraphedeliste"/>
        <w:numPr>
          <w:ilvl w:val="0"/>
          <w:numId w:val="6"/>
        </w:numPr>
        <w:spacing w:after="0" w:line="240" w:lineRule="auto"/>
        <w:jc w:val="both"/>
        <w:rPr>
          <w:rFonts w:ascii="Garamond" w:hAnsi="Garamond" w:cstheme="majorBidi"/>
          <w:sz w:val="20"/>
          <w:szCs w:val="20"/>
        </w:rPr>
      </w:pPr>
      <w:r w:rsidRPr="00883E21">
        <w:rPr>
          <w:rFonts w:ascii="Garamond" w:hAnsi="Garamond" w:cstheme="majorBidi"/>
          <w:sz w:val="20"/>
          <w:szCs w:val="20"/>
        </w:rPr>
        <w:t>Les zoonoses,</w:t>
      </w:r>
    </w:p>
    <w:p w:rsidR="00160A84" w:rsidRPr="00883E21" w:rsidRDefault="00160A84" w:rsidP="00883E21">
      <w:pPr>
        <w:pStyle w:val="Paragraphedeliste"/>
        <w:numPr>
          <w:ilvl w:val="0"/>
          <w:numId w:val="6"/>
        </w:numPr>
        <w:spacing w:after="0" w:line="240" w:lineRule="auto"/>
        <w:jc w:val="both"/>
        <w:rPr>
          <w:rFonts w:ascii="Garamond" w:hAnsi="Garamond" w:cstheme="majorBidi"/>
          <w:sz w:val="20"/>
          <w:szCs w:val="20"/>
        </w:rPr>
      </w:pPr>
      <w:r w:rsidRPr="00883E21">
        <w:rPr>
          <w:rFonts w:ascii="Garamond" w:hAnsi="Garamond" w:cstheme="majorBidi"/>
          <w:sz w:val="20"/>
          <w:szCs w:val="20"/>
        </w:rPr>
        <w:t>Les maladies sexuellement transmissibles.</w:t>
      </w:r>
    </w:p>
    <w:p w:rsidR="00160A84" w:rsidRPr="00883E21" w:rsidRDefault="00160A84" w:rsidP="00883E21">
      <w:pPr>
        <w:pStyle w:val="Paragraphedeliste"/>
        <w:numPr>
          <w:ilvl w:val="0"/>
          <w:numId w:val="7"/>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t>Les maladies à transmission hydrique (MTH) :</w:t>
      </w:r>
    </w:p>
    <w:p w:rsidR="00160A84" w:rsidRDefault="00397CE7"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Jusqu’à 1990, les maladies à transmission hydrique occupaient la première place parmi les maladies à déclaration obligatoire en Algérie, elles étaient à l’origine de 25% des causes des décès des enfants âgés de 1 à 14 ans</w:t>
      </w:r>
      <w:r w:rsidRPr="00883E21">
        <w:rPr>
          <w:rStyle w:val="Appelnotedebasdep"/>
          <w:rFonts w:ascii="Garamond" w:hAnsi="Garamond" w:cstheme="majorBidi"/>
          <w:sz w:val="20"/>
          <w:szCs w:val="20"/>
        </w:rPr>
        <w:footnoteReference w:id="2"/>
      </w:r>
      <w:r w:rsidRPr="00883E21">
        <w:rPr>
          <w:rFonts w:ascii="Garamond" w:hAnsi="Garamond" w:cstheme="majorBidi"/>
          <w:sz w:val="20"/>
          <w:szCs w:val="20"/>
        </w:rPr>
        <w:t>.</w:t>
      </w:r>
    </w:p>
    <w:p w:rsidR="002807AC" w:rsidRPr="00883E21" w:rsidRDefault="002807AC" w:rsidP="00883E21">
      <w:pPr>
        <w:spacing w:after="0" w:line="240" w:lineRule="auto"/>
        <w:jc w:val="both"/>
        <w:rPr>
          <w:rFonts w:ascii="Garamond" w:hAnsi="Garamond" w:cstheme="majorBidi"/>
          <w:sz w:val="20"/>
          <w:szCs w:val="20"/>
        </w:rPr>
      </w:pPr>
    </w:p>
    <w:p w:rsidR="00160A84" w:rsidRPr="00883E21" w:rsidRDefault="00160A84" w:rsidP="00883E21">
      <w:pPr>
        <w:tabs>
          <w:tab w:val="left" w:pos="5978"/>
        </w:tabs>
        <w:spacing w:after="0" w:line="240" w:lineRule="auto"/>
        <w:jc w:val="both"/>
        <w:rPr>
          <w:rFonts w:ascii="Garamond" w:hAnsi="Garamond" w:cstheme="majorBidi"/>
          <w:b/>
          <w:bCs/>
          <w:sz w:val="20"/>
          <w:szCs w:val="20"/>
        </w:rPr>
      </w:pPr>
      <w:r w:rsidRPr="00883E21">
        <w:rPr>
          <w:rFonts w:ascii="Garamond" w:hAnsi="Garamond" w:cstheme="majorBidi"/>
          <w:b/>
          <w:bCs/>
          <w:sz w:val="20"/>
          <w:szCs w:val="20"/>
        </w:rPr>
        <w:t>Graphique 01 : évolution des maladies à transmission hydriques en Algérie.</w:t>
      </w:r>
    </w:p>
    <w:p w:rsidR="00160A84" w:rsidRPr="00883E21" w:rsidRDefault="00586123" w:rsidP="00883E21">
      <w:pPr>
        <w:tabs>
          <w:tab w:val="left" w:pos="5978"/>
        </w:tabs>
        <w:spacing w:after="0" w:line="240" w:lineRule="auto"/>
        <w:jc w:val="both"/>
        <w:rPr>
          <w:rFonts w:ascii="Garamond" w:hAnsi="Garamond" w:cstheme="majorBidi"/>
          <w:sz w:val="20"/>
          <w:szCs w:val="20"/>
        </w:rPr>
      </w:pPr>
      <w:r w:rsidRPr="00883E21">
        <w:rPr>
          <w:rFonts w:ascii="Garamond" w:hAnsi="Garamond" w:cstheme="majorBidi"/>
          <w:sz w:val="20"/>
          <w:szCs w:val="20"/>
        </w:rPr>
        <w:object w:dxaOrig="15543" w:dyaOrig="3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115.5pt" o:ole="">
            <v:imagedata r:id="rId9" o:title=""/>
          </v:shape>
          <o:OLEObject Type="Embed" ProgID="Excel.Sheet.12" ShapeID="_x0000_i1025" DrawAspect="Content" ObjectID="_1491878271" r:id="rId10"/>
        </w:object>
      </w:r>
    </w:p>
    <w:p w:rsidR="00160A84" w:rsidRPr="002807AC" w:rsidRDefault="00160A84" w:rsidP="00883E21">
      <w:pPr>
        <w:spacing w:after="0" w:line="240" w:lineRule="auto"/>
        <w:jc w:val="both"/>
        <w:rPr>
          <w:rFonts w:asciiTheme="minorBidi" w:hAnsiTheme="minorBidi"/>
          <w:i/>
          <w:iCs/>
          <w:sz w:val="16"/>
          <w:szCs w:val="16"/>
        </w:rPr>
      </w:pPr>
      <w:r w:rsidRPr="002807AC">
        <w:rPr>
          <w:rFonts w:asciiTheme="minorBidi" w:hAnsiTheme="minorBidi"/>
          <w:i/>
          <w:iCs/>
          <w:sz w:val="16"/>
          <w:szCs w:val="16"/>
        </w:rPr>
        <w:t>Source : graphique réalisé par nos soins à partir de : INSP, relevés épidémiologiques annuels 1980-2011, Algérie.</w:t>
      </w:r>
    </w:p>
    <w:p w:rsidR="00160A84" w:rsidRPr="00883E21" w:rsidRDefault="00160A84" w:rsidP="00883E21">
      <w:pPr>
        <w:spacing w:after="0" w:line="240" w:lineRule="auto"/>
        <w:jc w:val="both"/>
        <w:rPr>
          <w:rFonts w:ascii="Garamond" w:hAnsi="Garamond" w:cstheme="majorBidi"/>
          <w:sz w:val="20"/>
          <w:szCs w:val="20"/>
        </w:rPr>
      </w:pPr>
    </w:p>
    <w:p w:rsidR="00397CE7" w:rsidRPr="00883E21" w:rsidRDefault="00397CE7"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lastRenderedPageBreak/>
        <w:t>Aujourd’hui, les MTH semblent être maitrisées, grâce à l’amélioration des conditions de l’habitat en conséquence aux nombreux programmes nationaux de construction de logement ayant réduit le taux d’occupation par logement passant de 7,1 personnes par logements en 1998 à 4,8 personnes par logements en 2012. De plus, 85% de la population boit de l’eau potable</w:t>
      </w:r>
      <w:r w:rsidRPr="00883E21">
        <w:rPr>
          <w:rStyle w:val="Appelnotedebasdep"/>
          <w:rFonts w:ascii="Garamond" w:hAnsi="Garamond" w:cstheme="majorBidi"/>
          <w:sz w:val="20"/>
          <w:szCs w:val="20"/>
        </w:rPr>
        <w:footnoteReference w:id="3"/>
      </w:r>
      <w:r w:rsidRPr="00883E21">
        <w:rPr>
          <w:rFonts w:ascii="Garamond" w:hAnsi="Garamond" w:cstheme="majorBidi"/>
          <w:sz w:val="20"/>
          <w:szCs w:val="20"/>
        </w:rPr>
        <w:t xml:space="preserve"> et 95% de la population à accès à des installations d’assainissement améliorées</w:t>
      </w:r>
      <w:r w:rsidRPr="00883E21">
        <w:rPr>
          <w:rStyle w:val="Appelnotedebasdep"/>
          <w:rFonts w:ascii="Garamond" w:hAnsi="Garamond" w:cstheme="majorBidi"/>
          <w:sz w:val="20"/>
          <w:szCs w:val="20"/>
        </w:rPr>
        <w:footnoteReference w:id="4"/>
      </w:r>
      <w:r w:rsidRPr="00883E21">
        <w:rPr>
          <w:rFonts w:ascii="Garamond" w:hAnsi="Garamond" w:cstheme="majorBidi"/>
          <w:sz w:val="20"/>
          <w:szCs w:val="20"/>
        </w:rPr>
        <w:t>.</w:t>
      </w:r>
    </w:p>
    <w:p w:rsidR="009D70C4" w:rsidRPr="00883E21" w:rsidRDefault="009D70C4" w:rsidP="00883E21">
      <w:pPr>
        <w:pStyle w:val="Paragraphedeliste"/>
        <w:numPr>
          <w:ilvl w:val="0"/>
          <w:numId w:val="7"/>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t>Les maladies bénéficiant de programme élargi de vaccination (MPEV),</w:t>
      </w:r>
    </w:p>
    <w:p w:rsidR="009D70C4" w:rsidRDefault="009D70C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La vaccination des maladies suivantes : la tuberculose, la diphtérie, le tétanos, la coqueluche, la poliomyélite et la méningite ; est rendue obligatoire et gratuite depuis 1968 avec le décret 69-88, du 19/06/1969. Quant à la rougeole, elle a était intégrée au programme de vaccination national obligatoire en 1985, ce qui explique justement la baisse consécutive de l’épidémie de rougeole en 1985 par rapport à 1984.</w:t>
      </w:r>
    </w:p>
    <w:p w:rsidR="0036567C" w:rsidRPr="00883E21" w:rsidRDefault="0036567C" w:rsidP="00883E21">
      <w:pPr>
        <w:spacing w:after="0" w:line="240" w:lineRule="auto"/>
        <w:jc w:val="both"/>
        <w:rPr>
          <w:rFonts w:ascii="Garamond" w:hAnsi="Garamond" w:cstheme="majorBidi"/>
          <w:sz w:val="20"/>
          <w:szCs w:val="20"/>
        </w:rPr>
      </w:pPr>
    </w:p>
    <w:p w:rsidR="009D70C4" w:rsidRPr="00883E21" w:rsidRDefault="009D70C4"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Graphique n°02 : évolution des maladies bénéficiant d’un programme élargi de vaccination.</w:t>
      </w:r>
    </w:p>
    <w:p w:rsidR="009D70C4" w:rsidRPr="00883E21" w:rsidRDefault="00586123"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object w:dxaOrig="13098" w:dyaOrig="3878">
          <v:shape id="_x0000_i1026" type="#_x0000_t75" style="width:341.8pt;height:163.8pt" o:ole="">
            <v:imagedata r:id="rId11" o:title=""/>
          </v:shape>
          <o:OLEObject Type="Embed" ProgID="Excel.Sheet.12" ShapeID="_x0000_i1026" DrawAspect="Content" ObjectID="_1491878272" r:id="rId12"/>
        </w:object>
      </w:r>
    </w:p>
    <w:p w:rsidR="009D70C4" w:rsidRPr="00C077CA" w:rsidRDefault="009D70C4" w:rsidP="00883E21">
      <w:pPr>
        <w:spacing w:after="0" w:line="240" w:lineRule="auto"/>
        <w:jc w:val="both"/>
        <w:rPr>
          <w:rFonts w:asciiTheme="minorBidi" w:hAnsiTheme="minorBidi"/>
          <w:i/>
          <w:iCs/>
          <w:sz w:val="16"/>
          <w:szCs w:val="16"/>
        </w:rPr>
      </w:pPr>
      <w:r w:rsidRPr="00C077CA">
        <w:rPr>
          <w:rFonts w:asciiTheme="minorBidi" w:hAnsiTheme="minorBidi"/>
          <w:i/>
          <w:iCs/>
          <w:sz w:val="16"/>
          <w:szCs w:val="16"/>
        </w:rPr>
        <w:t>Source : graphique réalisé par nos soins à partir de : INSP, relevés épidémiologiques annuels 1980-2011, Algérie.</w:t>
      </w:r>
    </w:p>
    <w:p w:rsidR="00397CE7" w:rsidRPr="00883E21" w:rsidRDefault="00397CE7" w:rsidP="00883E21">
      <w:pPr>
        <w:spacing w:after="0" w:line="240" w:lineRule="auto"/>
        <w:jc w:val="both"/>
        <w:rPr>
          <w:rFonts w:ascii="Garamond" w:hAnsi="Garamond" w:cstheme="majorBidi"/>
          <w:sz w:val="20"/>
          <w:szCs w:val="20"/>
        </w:rPr>
      </w:pPr>
    </w:p>
    <w:p w:rsidR="009D70C4" w:rsidRPr="00883E21" w:rsidRDefault="009D70C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L’incidence des MPEV est très faibles grâce au programme élargi de vaccination (PEV) mis en place par le Ministère de la Sante et de la Population et de la réforme hospitalière, qui stipule selon l’Organisation Mondiale de la Sante (OMS) et le Fonds des Nations Unies pour 1’Enfance (UNICEF) que tous les enfants soient vaccinés contre la tuberculose (BCG), contre la diphtérie, le tétanos, la coqueluche par trois prises de vaccins (DTC3), contre la poliomyélite par trois prises de vaccins oral (VPO3) et contre la rougeole (VAR) avant l’âge d’un an.</w:t>
      </w:r>
    </w:p>
    <w:p w:rsidR="009D70C4" w:rsidRPr="00883E21" w:rsidRDefault="009D70C4" w:rsidP="00883E21">
      <w:pPr>
        <w:pStyle w:val="Paragraphedeliste"/>
        <w:numPr>
          <w:ilvl w:val="0"/>
          <w:numId w:val="7"/>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t xml:space="preserve">Les maladies à transmission vectorielle : </w:t>
      </w:r>
    </w:p>
    <w:p w:rsidR="009D70C4" w:rsidRPr="00883E21" w:rsidRDefault="009D70C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En Algérie, la maladie la plus répondue et ayant fait l’objet d’un programme national est le paludisme, ayant fait des ravages.</w:t>
      </w:r>
    </w:p>
    <w:p w:rsidR="009D70C4" w:rsidRPr="00883E21" w:rsidRDefault="009D70C4" w:rsidP="00883E21">
      <w:pPr>
        <w:spacing w:after="0" w:line="240" w:lineRule="auto"/>
        <w:jc w:val="both"/>
        <w:rPr>
          <w:rFonts w:ascii="Garamond" w:hAnsi="Garamond" w:cstheme="majorBidi"/>
          <w:sz w:val="20"/>
          <w:szCs w:val="20"/>
        </w:rPr>
      </w:pPr>
    </w:p>
    <w:p w:rsidR="009D70C4" w:rsidRPr="00883E21" w:rsidRDefault="009D70C4"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Graphique n°03 : évolution du paludisme en Algérie.</w:t>
      </w:r>
    </w:p>
    <w:p w:rsidR="009D70C4" w:rsidRPr="00883E21" w:rsidRDefault="00586123" w:rsidP="00883E21">
      <w:pPr>
        <w:spacing w:after="0" w:line="240" w:lineRule="auto"/>
        <w:jc w:val="both"/>
        <w:rPr>
          <w:rFonts w:ascii="Garamond" w:hAnsi="Garamond" w:cstheme="majorBidi"/>
          <w:sz w:val="20"/>
          <w:szCs w:val="20"/>
        </w:rPr>
      </w:pPr>
      <w:r w:rsidRPr="00883E21">
        <w:rPr>
          <w:rFonts w:ascii="Garamond" w:hAnsi="Garamond"/>
          <w:sz w:val="20"/>
          <w:szCs w:val="20"/>
        </w:rPr>
        <w:object w:dxaOrig="16410" w:dyaOrig="3423">
          <v:shape id="_x0000_i1027" type="#_x0000_t75" style="width:339.45pt;height:138.45pt" o:ole="">
            <v:imagedata r:id="rId13" o:title=""/>
          </v:shape>
          <o:OLEObject Type="Embed" ProgID="Excel.Sheet.12" ShapeID="_x0000_i1027" DrawAspect="Content" ObjectID="_1491878273" r:id="rId14"/>
        </w:object>
      </w:r>
    </w:p>
    <w:p w:rsidR="009D70C4" w:rsidRPr="00C077CA" w:rsidRDefault="009D70C4" w:rsidP="00883E21">
      <w:pPr>
        <w:spacing w:after="0" w:line="240" w:lineRule="auto"/>
        <w:jc w:val="both"/>
        <w:rPr>
          <w:rFonts w:asciiTheme="minorBidi" w:hAnsiTheme="minorBidi"/>
          <w:i/>
          <w:iCs/>
          <w:sz w:val="16"/>
          <w:szCs w:val="16"/>
        </w:rPr>
      </w:pPr>
      <w:r w:rsidRPr="00C077CA">
        <w:rPr>
          <w:rFonts w:asciiTheme="minorBidi" w:hAnsiTheme="minorBidi"/>
          <w:i/>
          <w:iCs/>
          <w:sz w:val="16"/>
          <w:szCs w:val="16"/>
        </w:rPr>
        <w:t>Source : graphique réalisé par nos soins à partir de : INSP, relevés épidémiologiques annuels 1980-2011, Algérie.</w:t>
      </w:r>
    </w:p>
    <w:p w:rsidR="00397CE7" w:rsidRPr="00883E21" w:rsidRDefault="00397CE7" w:rsidP="00883E21">
      <w:pPr>
        <w:spacing w:after="0" w:line="240" w:lineRule="auto"/>
        <w:jc w:val="both"/>
        <w:rPr>
          <w:rFonts w:ascii="Garamond" w:hAnsi="Garamond" w:cstheme="majorBidi"/>
          <w:sz w:val="20"/>
          <w:szCs w:val="20"/>
        </w:rPr>
      </w:pPr>
    </w:p>
    <w:p w:rsidR="009D70C4" w:rsidRPr="00883E21" w:rsidRDefault="009D70C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L’incidence du paludisme est très faible, les quelques cas encore recensés, sont à plus de 90% des cas importés des pays africains frontalière. </w:t>
      </w:r>
      <w:r w:rsidR="00530F77" w:rsidRPr="00883E21">
        <w:rPr>
          <w:rFonts w:ascii="Garamond" w:hAnsi="Garamond" w:cstheme="majorBidi"/>
          <w:sz w:val="20"/>
          <w:szCs w:val="20"/>
        </w:rPr>
        <w:t>Aujourd’hui,</w:t>
      </w:r>
      <w:r w:rsidRPr="00883E21">
        <w:rPr>
          <w:rFonts w:ascii="Garamond" w:hAnsi="Garamond" w:cstheme="majorBidi"/>
          <w:sz w:val="20"/>
          <w:szCs w:val="20"/>
        </w:rPr>
        <w:t xml:space="preserve"> la maîtrise </w:t>
      </w:r>
      <w:r w:rsidR="00530F77" w:rsidRPr="00883E21">
        <w:rPr>
          <w:rFonts w:ascii="Garamond" w:hAnsi="Garamond" w:cstheme="majorBidi"/>
          <w:sz w:val="20"/>
          <w:szCs w:val="20"/>
        </w:rPr>
        <w:t xml:space="preserve">et l’éradication </w:t>
      </w:r>
      <w:r w:rsidRPr="00883E21">
        <w:rPr>
          <w:rFonts w:ascii="Garamond" w:hAnsi="Garamond" w:cstheme="majorBidi"/>
          <w:sz w:val="20"/>
          <w:szCs w:val="20"/>
        </w:rPr>
        <w:t>du paludisme</w:t>
      </w:r>
      <w:r w:rsidR="00530F77" w:rsidRPr="00883E21">
        <w:rPr>
          <w:rFonts w:ascii="Garamond" w:hAnsi="Garamond" w:cstheme="majorBidi"/>
          <w:sz w:val="20"/>
          <w:szCs w:val="20"/>
        </w:rPr>
        <w:t xml:space="preserve"> dépend </w:t>
      </w:r>
      <w:r w:rsidRPr="00883E21">
        <w:rPr>
          <w:rFonts w:ascii="Garamond" w:hAnsi="Garamond" w:cstheme="majorBidi"/>
          <w:sz w:val="20"/>
          <w:szCs w:val="20"/>
        </w:rPr>
        <w:t xml:space="preserve">du degré de vigilance et de surveillance des zones à risque, notamment les régions frontalières où le risque d’importation d’épidémie est très élevé. Ce phénomène se renforce encore avec l’exode des populations des pays frontaliers à cause de l’insécurité politique qui règne. </w:t>
      </w:r>
    </w:p>
    <w:p w:rsidR="009D70C4" w:rsidRPr="00883E21" w:rsidRDefault="009D70C4" w:rsidP="00883E21">
      <w:pPr>
        <w:spacing w:after="0" w:line="240" w:lineRule="auto"/>
        <w:jc w:val="both"/>
        <w:rPr>
          <w:rFonts w:ascii="Garamond" w:hAnsi="Garamond" w:cstheme="majorBidi"/>
          <w:sz w:val="20"/>
          <w:szCs w:val="20"/>
        </w:rPr>
      </w:pPr>
    </w:p>
    <w:p w:rsidR="00530F77" w:rsidRPr="00883E21" w:rsidRDefault="00530F77" w:rsidP="00883E21">
      <w:pPr>
        <w:pStyle w:val="Paragraphedeliste"/>
        <w:numPr>
          <w:ilvl w:val="0"/>
          <w:numId w:val="7"/>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t>Les zoonoses :</w:t>
      </w:r>
    </w:p>
    <w:p w:rsidR="00530F77" w:rsidRPr="00883E21" w:rsidRDefault="00530F77"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lastRenderedPageBreak/>
        <w:t>Les zoonoses en Algérie enregistrent encore des taux alarmants. D’autant plus qu’il s’agit de maladies qui laissent des séquelles graves sur l’homme. Les principales persistant encore sont :</w:t>
      </w:r>
    </w:p>
    <w:p w:rsidR="00530F77" w:rsidRPr="00883E21" w:rsidRDefault="00530F77" w:rsidP="00883E21">
      <w:pPr>
        <w:pStyle w:val="Paragraphedeliste"/>
        <w:numPr>
          <w:ilvl w:val="0"/>
          <w:numId w:val="7"/>
        </w:numPr>
        <w:spacing w:after="0" w:line="240" w:lineRule="auto"/>
        <w:jc w:val="both"/>
        <w:rPr>
          <w:rFonts w:ascii="Garamond" w:hAnsi="Garamond" w:cstheme="majorBidi"/>
          <w:sz w:val="20"/>
          <w:szCs w:val="20"/>
        </w:rPr>
      </w:pPr>
      <w:r w:rsidRPr="00883E21">
        <w:rPr>
          <w:rFonts w:ascii="Garamond" w:hAnsi="Garamond" w:cstheme="majorBidi"/>
          <w:sz w:val="20"/>
          <w:szCs w:val="20"/>
        </w:rPr>
        <w:t>La rage,</w:t>
      </w:r>
    </w:p>
    <w:p w:rsidR="00530F77" w:rsidRPr="00883E21" w:rsidRDefault="00530F77" w:rsidP="00883E21">
      <w:pPr>
        <w:pStyle w:val="Paragraphedeliste"/>
        <w:numPr>
          <w:ilvl w:val="0"/>
          <w:numId w:val="7"/>
        </w:numPr>
        <w:spacing w:after="0" w:line="240" w:lineRule="auto"/>
        <w:jc w:val="both"/>
        <w:rPr>
          <w:rFonts w:ascii="Garamond" w:hAnsi="Garamond" w:cstheme="majorBidi"/>
          <w:sz w:val="20"/>
          <w:szCs w:val="20"/>
        </w:rPr>
      </w:pPr>
      <w:r w:rsidRPr="00883E21">
        <w:rPr>
          <w:rFonts w:ascii="Garamond" w:hAnsi="Garamond" w:cstheme="majorBidi"/>
          <w:sz w:val="20"/>
          <w:szCs w:val="20"/>
        </w:rPr>
        <w:t>La brucellose,</w:t>
      </w:r>
    </w:p>
    <w:p w:rsidR="00530F77" w:rsidRPr="00883E21" w:rsidRDefault="00530F77" w:rsidP="00883E21">
      <w:pPr>
        <w:pStyle w:val="Paragraphedeliste"/>
        <w:numPr>
          <w:ilvl w:val="0"/>
          <w:numId w:val="7"/>
        </w:numPr>
        <w:spacing w:after="0" w:line="240" w:lineRule="auto"/>
        <w:jc w:val="both"/>
        <w:rPr>
          <w:rFonts w:ascii="Garamond" w:hAnsi="Garamond" w:cstheme="majorBidi"/>
          <w:sz w:val="20"/>
          <w:szCs w:val="20"/>
        </w:rPr>
      </w:pPr>
      <w:r w:rsidRPr="00883E21">
        <w:rPr>
          <w:rFonts w:ascii="Garamond" w:hAnsi="Garamond" w:cstheme="majorBidi"/>
          <w:sz w:val="20"/>
          <w:szCs w:val="20"/>
        </w:rPr>
        <w:t>La leishmaniose.</w:t>
      </w:r>
    </w:p>
    <w:p w:rsidR="0036567C" w:rsidRDefault="0036567C" w:rsidP="00883E21">
      <w:pPr>
        <w:spacing w:after="0" w:line="240" w:lineRule="auto"/>
        <w:jc w:val="both"/>
        <w:rPr>
          <w:rFonts w:ascii="Garamond" w:hAnsi="Garamond" w:cstheme="majorBidi"/>
          <w:b/>
          <w:bCs/>
          <w:sz w:val="20"/>
          <w:szCs w:val="20"/>
        </w:rPr>
      </w:pPr>
    </w:p>
    <w:p w:rsidR="00586123" w:rsidRPr="00883E21" w:rsidRDefault="00586123"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Graphique n°04 : évolution des zoonoses en Algérie.</w:t>
      </w:r>
    </w:p>
    <w:p w:rsidR="00586123" w:rsidRPr="00883E21" w:rsidRDefault="00586123" w:rsidP="00883E21">
      <w:pPr>
        <w:spacing w:after="0" w:line="240" w:lineRule="auto"/>
        <w:jc w:val="both"/>
        <w:rPr>
          <w:rFonts w:ascii="Garamond" w:hAnsi="Garamond" w:cstheme="majorBidi"/>
          <w:sz w:val="20"/>
          <w:szCs w:val="20"/>
        </w:rPr>
      </w:pPr>
      <w:r w:rsidRPr="00883E21">
        <w:rPr>
          <w:rFonts w:ascii="Garamond" w:hAnsi="Garamond"/>
          <w:noProof/>
          <w:sz w:val="20"/>
          <w:szCs w:val="20"/>
          <w:lang w:eastAsia="fr-FR"/>
        </w:rPr>
        <w:drawing>
          <wp:inline distT="0" distB="0" distL="0" distR="0">
            <wp:extent cx="4257626" cy="1979526"/>
            <wp:effectExtent l="19050" t="0" r="9574" b="1674"/>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6123" w:rsidRPr="00C077CA" w:rsidRDefault="00586123" w:rsidP="00883E21">
      <w:pPr>
        <w:spacing w:after="0" w:line="240" w:lineRule="auto"/>
        <w:jc w:val="both"/>
        <w:rPr>
          <w:rFonts w:asciiTheme="minorBidi" w:hAnsiTheme="minorBidi"/>
          <w:i/>
          <w:iCs/>
          <w:sz w:val="16"/>
          <w:szCs w:val="16"/>
        </w:rPr>
      </w:pPr>
      <w:r w:rsidRPr="00C077CA">
        <w:rPr>
          <w:rFonts w:asciiTheme="minorBidi" w:hAnsiTheme="minorBidi"/>
          <w:i/>
          <w:iCs/>
          <w:sz w:val="16"/>
          <w:szCs w:val="16"/>
        </w:rPr>
        <w:t>Source : graphique réalisé par nos soins à partir de : INSP, relevés épidémiologiques annuels 1980-2011, Algérie.</w:t>
      </w:r>
    </w:p>
    <w:p w:rsidR="00530F77" w:rsidRPr="00883E21" w:rsidRDefault="00530F77" w:rsidP="00883E21">
      <w:pPr>
        <w:spacing w:after="0" w:line="240" w:lineRule="auto"/>
        <w:jc w:val="both"/>
        <w:rPr>
          <w:rFonts w:ascii="Garamond" w:hAnsi="Garamond" w:cstheme="majorBidi"/>
          <w:sz w:val="20"/>
          <w:szCs w:val="20"/>
        </w:rPr>
      </w:pPr>
    </w:p>
    <w:p w:rsidR="0036567C" w:rsidRDefault="0036567C" w:rsidP="00883E21">
      <w:pPr>
        <w:spacing w:after="0" w:line="240" w:lineRule="auto"/>
        <w:jc w:val="both"/>
        <w:rPr>
          <w:rFonts w:ascii="Garamond" w:hAnsi="Garamond" w:cstheme="majorBidi"/>
          <w:sz w:val="20"/>
          <w:szCs w:val="20"/>
        </w:rPr>
      </w:pPr>
    </w:p>
    <w:p w:rsidR="00586123" w:rsidRPr="00883E21" w:rsidRDefault="00586123"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Les zoonoses continuent à enregistrer des taux alarmants. La rage humaine continue de faire des décès en Algérie du fait de l’ignorance des victimes du risque mortel auquel elles s’exposent. 20% seulement des victimes consultent immédiatement, 8% consultent dans les 24heures qui suivent l’accident, 60% des victimes ne consultent qu’après l’apparition des signes cliniques ce qui donne un taux d’échec de 40% malgré la prise en charge immédiate. L’éradication de la rage humaine nécessite l’intervention de plusieurs secteurs. Toutefois, l’intervention au niveau de la source du problème demeure primordiale, les efforts doivent être renforcés envers le réservoir principal de la rage à savoir la population canine (chien et chat) en effectuant une étude statistique de la taille de la population existante et abattre les animaux errants et surtout rendre obligatoire la vaccination des chiens et chats domestiques. Sans oublier la sensibilisation intensive de la population sur l’obligation de la consultation en cas de contact avec un animal suspecté d’être enragé. </w:t>
      </w:r>
    </w:p>
    <w:p w:rsidR="0036567C" w:rsidRDefault="0036567C" w:rsidP="00883E21">
      <w:pPr>
        <w:spacing w:after="0" w:line="240" w:lineRule="auto"/>
        <w:jc w:val="both"/>
        <w:rPr>
          <w:rFonts w:ascii="Garamond" w:hAnsi="Garamond" w:cstheme="majorBidi"/>
          <w:sz w:val="20"/>
          <w:szCs w:val="20"/>
        </w:rPr>
      </w:pPr>
    </w:p>
    <w:p w:rsidR="00586123" w:rsidRPr="00883E21" w:rsidRDefault="00586123"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Quant à la brucellose, elle</w:t>
      </w:r>
      <w:r w:rsidR="001E05A8" w:rsidRPr="00883E21">
        <w:rPr>
          <w:rFonts w:ascii="Garamond" w:hAnsi="Garamond" w:cstheme="majorBidi"/>
          <w:sz w:val="20"/>
          <w:szCs w:val="20"/>
        </w:rPr>
        <w:t>s</w:t>
      </w:r>
      <w:r w:rsidRPr="00883E21">
        <w:rPr>
          <w:rFonts w:ascii="Garamond" w:hAnsi="Garamond" w:cstheme="majorBidi"/>
          <w:sz w:val="20"/>
          <w:szCs w:val="20"/>
        </w:rPr>
        <w:t xml:space="preserve"> ne cessent d’accroitre notamment dans le milieu rural, avec une nette prédominance masculine dans les régions pastorales</w:t>
      </w:r>
      <w:r w:rsidR="001E05A8" w:rsidRPr="00883E21">
        <w:rPr>
          <w:rFonts w:ascii="Garamond" w:hAnsi="Garamond" w:cstheme="majorBidi"/>
          <w:sz w:val="20"/>
          <w:szCs w:val="20"/>
        </w:rPr>
        <w:t>. Selon une enquête réalisée par le les médecins TABET DERRAZ et BESTAOUI</w:t>
      </w:r>
      <w:r w:rsidR="001E05A8" w:rsidRPr="00883E21">
        <w:rPr>
          <w:rStyle w:val="Appelnotedebasdep"/>
          <w:rFonts w:ascii="Garamond" w:hAnsi="Garamond" w:cstheme="majorBidi"/>
          <w:sz w:val="20"/>
          <w:szCs w:val="20"/>
        </w:rPr>
        <w:footnoteReference w:id="5"/>
      </w:r>
      <w:r w:rsidR="001E05A8" w:rsidRPr="00883E21">
        <w:rPr>
          <w:rFonts w:ascii="Garamond" w:hAnsi="Garamond" w:cstheme="majorBidi"/>
          <w:sz w:val="20"/>
          <w:szCs w:val="20"/>
        </w:rPr>
        <w:t xml:space="preserve"> en 2012, la majorité des victimes sont de profession éleveur. </w:t>
      </w:r>
    </w:p>
    <w:p w:rsidR="0036567C" w:rsidRDefault="0036567C" w:rsidP="00883E21">
      <w:pPr>
        <w:spacing w:after="0" w:line="240" w:lineRule="auto"/>
        <w:jc w:val="both"/>
        <w:rPr>
          <w:rFonts w:ascii="Garamond" w:hAnsi="Garamond" w:cstheme="majorBidi"/>
          <w:sz w:val="20"/>
          <w:szCs w:val="20"/>
        </w:rPr>
      </w:pPr>
    </w:p>
    <w:p w:rsidR="001E05A8"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Pour ce qui concerne la leishmaniose, depuis mars 2006 ; un plan d’action national de lutte contre la leishmaniose à été mis en place par le ministère de la santé, caractérisé par des compagnes de lutte anti-vectorielle et une sensibilisation intensive avec les différents moyens de communication (radio, affichage dans les centre de soins et télévision), ce qui à permet de ramené l’incidence de 79 cas/100 000 habitants en 2005 à 53 cas/100 000 habitants en 2006, mais sa reste encore très élevé, sachant que cette maladie laisse des cicatrices inesthétiques et indélébiles après guérison. </w:t>
      </w:r>
    </w:p>
    <w:p w:rsidR="0036567C" w:rsidRPr="00883E21" w:rsidRDefault="0036567C" w:rsidP="00883E21">
      <w:pPr>
        <w:spacing w:after="0" w:line="240" w:lineRule="auto"/>
        <w:jc w:val="both"/>
        <w:rPr>
          <w:rFonts w:ascii="Garamond" w:hAnsi="Garamond" w:cstheme="majorBidi"/>
          <w:sz w:val="20"/>
          <w:szCs w:val="20"/>
        </w:rPr>
      </w:pPr>
    </w:p>
    <w:p w:rsidR="001E05A8" w:rsidRPr="00883E21" w:rsidRDefault="001E05A8" w:rsidP="00883E21">
      <w:pPr>
        <w:pStyle w:val="Paragraphedeliste"/>
        <w:numPr>
          <w:ilvl w:val="0"/>
          <w:numId w:val="7"/>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t>Les maladies sexuellement transmissibles.</w:t>
      </w:r>
    </w:p>
    <w:p w:rsidR="001E05A8"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En Algérie, la seule maladie sexuellement transmissible faisant l’objet de déclaration obligatoire est le sida, ce qui justifier l’absence de données statistiques pour les autres types d’infections sexuellement transmissibles. Le dépistage et la déclaration du sida est rendue obligatoire avec l’arrêté ministériel du 24 mai 1998.</w:t>
      </w:r>
    </w:p>
    <w:p w:rsidR="0036567C" w:rsidRDefault="0036567C" w:rsidP="00883E21">
      <w:pPr>
        <w:spacing w:after="0" w:line="240" w:lineRule="auto"/>
        <w:jc w:val="both"/>
        <w:rPr>
          <w:rFonts w:ascii="Garamond" w:hAnsi="Garamond" w:cstheme="majorBidi"/>
          <w:sz w:val="20"/>
          <w:szCs w:val="20"/>
        </w:rPr>
      </w:pPr>
    </w:p>
    <w:p w:rsidR="0036567C" w:rsidRDefault="0036567C" w:rsidP="00883E21">
      <w:pPr>
        <w:spacing w:after="0" w:line="240" w:lineRule="auto"/>
        <w:jc w:val="both"/>
        <w:rPr>
          <w:rFonts w:ascii="Garamond" w:hAnsi="Garamond" w:cstheme="majorBidi"/>
          <w:sz w:val="20"/>
          <w:szCs w:val="20"/>
        </w:rPr>
      </w:pPr>
    </w:p>
    <w:p w:rsidR="0036567C" w:rsidRDefault="0036567C" w:rsidP="00883E21">
      <w:pPr>
        <w:spacing w:after="0" w:line="240" w:lineRule="auto"/>
        <w:jc w:val="both"/>
        <w:rPr>
          <w:rFonts w:ascii="Garamond" w:hAnsi="Garamond" w:cstheme="majorBidi"/>
          <w:sz w:val="20"/>
          <w:szCs w:val="20"/>
        </w:rPr>
      </w:pPr>
    </w:p>
    <w:p w:rsidR="0036567C" w:rsidRDefault="0036567C" w:rsidP="00883E21">
      <w:pPr>
        <w:spacing w:after="0" w:line="240" w:lineRule="auto"/>
        <w:jc w:val="both"/>
        <w:rPr>
          <w:rFonts w:ascii="Garamond" w:hAnsi="Garamond" w:cstheme="majorBidi"/>
          <w:sz w:val="20"/>
          <w:szCs w:val="20"/>
        </w:rPr>
      </w:pPr>
    </w:p>
    <w:p w:rsidR="0036567C" w:rsidRDefault="0036567C" w:rsidP="00883E21">
      <w:pPr>
        <w:spacing w:after="0" w:line="240" w:lineRule="auto"/>
        <w:jc w:val="both"/>
        <w:rPr>
          <w:rFonts w:ascii="Garamond" w:hAnsi="Garamond" w:cstheme="majorBidi"/>
          <w:sz w:val="20"/>
          <w:szCs w:val="20"/>
        </w:rPr>
      </w:pPr>
    </w:p>
    <w:p w:rsidR="0036567C" w:rsidRDefault="0036567C" w:rsidP="00883E21">
      <w:pPr>
        <w:spacing w:after="0" w:line="240" w:lineRule="auto"/>
        <w:jc w:val="both"/>
        <w:rPr>
          <w:rFonts w:ascii="Garamond" w:hAnsi="Garamond" w:cstheme="majorBidi"/>
          <w:sz w:val="20"/>
          <w:szCs w:val="20"/>
        </w:rPr>
      </w:pPr>
    </w:p>
    <w:p w:rsidR="0036567C" w:rsidRDefault="0036567C" w:rsidP="00883E21">
      <w:pPr>
        <w:spacing w:after="0" w:line="240" w:lineRule="auto"/>
        <w:jc w:val="both"/>
        <w:rPr>
          <w:rFonts w:ascii="Garamond" w:hAnsi="Garamond" w:cstheme="majorBidi"/>
          <w:sz w:val="20"/>
          <w:szCs w:val="20"/>
        </w:rPr>
      </w:pPr>
    </w:p>
    <w:p w:rsidR="0036567C" w:rsidRPr="00883E21" w:rsidRDefault="0036567C" w:rsidP="00883E21">
      <w:pPr>
        <w:spacing w:after="0" w:line="240" w:lineRule="auto"/>
        <w:jc w:val="both"/>
        <w:rPr>
          <w:rFonts w:ascii="Garamond" w:hAnsi="Garamond" w:cstheme="majorBidi"/>
          <w:sz w:val="20"/>
          <w:szCs w:val="20"/>
        </w:rPr>
      </w:pPr>
    </w:p>
    <w:p w:rsidR="001E05A8" w:rsidRPr="00883E21" w:rsidRDefault="001E05A8"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Graphique n°05 : évolution du SIDA en Algérie.</w:t>
      </w:r>
    </w:p>
    <w:p w:rsidR="001E05A8" w:rsidRPr="00883E21" w:rsidRDefault="001E05A8" w:rsidP="00883E21">
      <w:pPr>
        <w:spacing w:after="0" w:line="240" w:lineRule="auto"/>
        <w:jc w:val="both"/>
        <w:rPr>
          <w:rFonts w:ascii="Garamond" w:hAnsi="Garamond" w:cstheme="majorBidi"/>
          <w:b/>
          <w:bCs/>
          <w:sz w:val="20"/>
          <w:szCs w:val="20"/>
        </w:rPr>
      </w:pPr>
      <w:r w:rsidRPr="00883E21">
        <w:rPr>
          <w:rFonts w:ascii="Garamond" w:hAnsi="Garamond" w:cstheme="majorBidi"/>
          <w:b/>
          <w:bCs/>
          <w:noProof/>
          <w:sz w:val="20"/>
          <w:szCs w:val="20"/>
          <w:lang w:eastAsia="fr-FR"/>
        </w:rPr>
        <w:lastRenderedPageBreak/>
        <w:drawing>
          <wp:inline distT="0" distB="0" distL="0" distR="0">
            <wp:extent cx="4253816" cy="1678074"/>
            <wp:effectExtent l="19050" t="0" r="13384"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05A8" w:rsidRPr="00C077CA" w:rsidRDefault="001E05A8" w:rsidP="00883E21">
      <w:pPr>
        <w:spacing w:after="0" w:line="240" w:lineRule="auto"/>
        <w:jc w:val="both"/>
        <w:rPr>
          <w:rFonts w:asciiTheme="minorBidi" w:hAnsiTheme="minorBidi"/>
          <w:i/>
          <w:iCs/>
          <w:sz w:val="16"/>
          <w:szCs w:val="16"/>
        </w:rPr>
      </w:pPr>
      <w:r w:rsidRPr="00C077CA">
        <w:rPr>
          <w:rFonts w:asciiTheme="minorBidi" w:hAnsiTheme="minorBidi"/>
          <w:i/>
          <w:iCs/>
          <w:sz w:val="16"/>
          <w:szCs w:val="16"/>
        </w:rPr>
        <w:t>Source : graphique réalisé par nos soins à partir de : INSP, relevés épidémiologiques annuels 1980-2011, Algérie.</w:t>
      </w:r>
    </w:p>
    <w:p w:rsidR="00530F77" w:rsidRPr="00883E21" w:rsidRDefault="00530F77" w:rsidP="00883E21">
      <w:pPr>
        <w:spacing w:after="0" w:line="240" w:lineRule="auto"/>
        <w:jc w:val="both"/>
        <w:rPr>
          <w:rFonts w:ascii="Garamond" w:hAnsi="Garamond" w:cstheme="majorBidi"/>
          <w:sz w:val="20"/>
          <w:szCs w:val="20"/>
        </w:rPr>
      </w:pPr>
    </w:p>
    <w:p w:rsidR="001E05A8" w:rsidRPr="00883E21"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Le système de surveillance des IST et de l’infection à VIH se base sur la notification des cas d’infections dans le cadre du programme de surveillance des maladies à déclaration obligatoire, la séro-surveillance sentinelle et l’évaluation de la file active des patients suivis dans les 7 centres de référence de prise en charge des infections à VIH (CDR) du pays.</w:t>
      </w:r>
    </w:p>
    <w:p w:rsidR="001E05A8" w:rsidRPr="00883E21"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Cependant, ce système reste défaillant, du fait que beaucoup de sujet ne déclare pas leur maladie puisqu’elle reste une maladie tabou dans la société algérienne, ce qui fait que la réalité de la prévalence de cette maladie peut être plus grave.</w:t>
      </w:r>
    </w:p>
    <w:p w:rsidR="00530F77" w:rsidRPr="00883E21"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En 2009, un manuel opérationnel du suivi et d’évaluation du plan national stratégique de lutte contre les IST/ VIH/sida a été élaboré, toutefois l’évaluation des effets reste précoce.</w:t>
      </w:r>
    </w:p>
    <w:p w:rsidR="001E05A8" w:rsidRPr="00883E21" w:rsidRDefault="001E05A8" w:rsidP="00883E21">
      <w:pPr>
        <w:spacing w:after="0" w:line="240" w:lineRule="auto"/>
        <w:jc w:val="both"/>
        <w:rPr>
          <w:rFonts w:ascii="Garamond" w:hAnsi="Garamond" w:cstheme="majorBidi"/>
          <w:sz w:val="20"/>
          <w:szCs w:val="20"/>
        </w:rPr>
      </w:pPr>
    </w:p>
    <w:p w:rsidR="001E05A8"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Pour conclure, les maladies transmissibles sont nombreuses et coûteuses, l’Algérie à réussi grâce aux nombreux programmes de lutte, de vaccination et d’éradication à maitriser plusieurs d’entre elles ; cependant plusieurs autres persistent encore ce qui interpelle les différents acteurs de la santé publique à revoir les insuffisances constatées des programmes nationaux et de renforcer les efforts plurisectoriels. Mais surtout, la persistance de ses maladies rend très complexe la prise en charge médicale des malades, notamment avec l’émergence des maladies chroniques.</w:t>
      </w:r>
    </w:p>
    <w:p w:rsidR="00752AAC" w:rsidRPr="00883E21" w:rsidRDefault="00752AAC" w:rsidP="00883E21">
      <w:pPr>
        <w:spacing w:after="0" w:line="240" w:lineRule="auto"/>
        <w:jc w:val="both"/>
        <w:rPr>
          <w:rFonts w:ascii="Garamond" w:hAnsi="Garamond" w:cstheme="majorBidi"/>
          <w:sz w:val="20"/>
          <w:szCs w:val="20"/>
        </w:rPr>
      </w:pPr>
    </w:p>
    <w:p w:rsidR="001E05A8" w:rsidRPr="00262D32" w:rsidRDefault="00262D32" w:rsidP="00262D32">
      <w:pPr>
        <w:spacing w:after="0" w:line="240" w:lineRule="auto"/>
        <w:ind w:left="360"/>
        <w:jc w:val="both"/>
        <w:rPr>
          <w:rFonts w:ascii="Garamond" w:hAnsi="Garamond" w:cstheme="majorBidi"/>
          <w:b/>
          <w:bCs/>
          <w:sz w:val="20"/>
          <w:szCs w:val="20"/>
        </w:rPr>
      </w:pPr>
      <w:r>
        <w:rPr>
          <w:rFonts w:ascii="Garamond" w:hAnsi="Garamond" w:cstheme="majorBidi"/>
          <w:b/>
          <w:bCs/>
          <w:sz w:val="20"/>
          <w:szCs w:val="20"/>
        </w:rPr>
        <w:t xml:space="preserve">A.2. </w:t>
      </w:r>
      <w:r w:rsidR="001E05A8" w:rsidRPr="00262D32">
        <w:rPr>
          <w:rFonts w:ascii="Garamond" w:hAnsi="Garamond" w:cstheme="majorBidi"/>
          <w:b/>
          <w:bCs/>
          <w:sz w:val="20"/>
          <w:szCs w:val="20"/>
        </w:rPr>
        <w:t xml:space="preserve">Les maladies non </w:t>
      </w:r>
      <w:r w:rsidR="00024C62" w:rsidRPr="00262D32">
        <w:rPr>
          <w:rFonts w:ascii="Garamond" w:hAnsi="Garamond" w:cstheme="majorBidi"/>
          <w:b/>
          <w:bCs/>
          <w:sz w:val="20"/>
          <w:szCs w:val="20"/>
        </w:rPr>
        <w:t>transmissibles</w:t>
      </w:r>
      <w:r w:rsidR="001E05A8" w:rsidRPr="00262D32">
        <w:rPr>
          <w:rFonts w:ascii="Garamond" w:hAnsi="Garamond" w:cstheme="majorBidi"/>
          <w:b/>
          <w:bCs/>
          <w:sz w:val="20"/>
          <w:szCs w:val="20"/>
        </w:rPr>
        <w:t>.</w:t>
      </w:r>
    </w:p>
    <w:p w:rsidR="001E05A8" w:rsidRPr="00883E21"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D’après les études menées depuis 1990 par l'Institut national de santé publique (INSP) 60% de la population serait touchée par les maladies chroniques, les maladies cardiovasculaires, le diabète non insulinodépendant, les maladies respiratoires chroniques et les cancers sont les plus fréquents et entraînaient des dépenses de santé de plus en plus élevées. Les maladies de l'appareil circulatoire tendent à se situer en première ligne du profil de morbidité des Algériens. </w:t>
      </w:r>
    </w:p>
    <w:p w:rsidR="001E05A8" w:rsidRPr="00883E21"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Selon une enquête de l’INSP en 2007, l’hypertension artérielle vient largement en tête des pathologies chroniques les plus fréquentes avec un taux de 24.58%. Suivi du diabète (12.33%), puis l’asthme (9%) et les rhumatismes (8.15%). Les autres pathologies cardiovasculaires, les maladies mentales et les handicaps sensoriels sont retrouvés dans des proportions non négligeables (6,80%, 5,44% et 4,60% respectivement). Viennent ensuite les autres pathologies du système nerveux, les troubles du métabolisme et les rhinites allergiques</w:t>
      </w:r>
      <w:r w:rsidRPr="00883E21">
        <w:rPr>
          <w:rStyle w:val="Appelnotedebasdep"/>
          <w:rFonts w:ascii="Garamond" w:hAnsi="Garamond" w:cstheme="majorBidi"/>
          <w:sz w:val="20"/>
          <w:szCs w:val="20"/>
        </w:rPr>
        <w:footnoteReference w:id="6"/>
      </w:r>
      <w:r w:rsidRPr="00883E21">
        <w:rPr>
          <w:rFonts w:ascii="Garamond" w:hAnsi="Garamond" w:cstheme="majorBidi"/>
          <w:sz w:val="20"/>
          <w:szCs w:val="20"/>
        </w:rPr>
        <w:t>. Comme le montre la figure suivante :</w:t>
      </w:r>
    </w:p>
    <w:p w:rsidR="001E05A8" w:rsidRPr="00883E21" w:rsidRDefault="001E05A8" w:rsidP="00883E21">
      <w:pPr>
        <w:spacing w:after="0" w:line="240" w:lineRule="auto"/>
        <w:jc w:val="both"/>
        <w:rPr>
          <w:rFonts w:ascii="Garamond" w:hAnsi="Garamond" w:cstheme="majorBidi"/>
          <w:sz w:val="20"/>
          <w:szCs w:val="20"/>
        </w:rPr>
      </w:pPr>
    </w:p>
    <w:p w:rsidR="001E05A8" w:rsidRPr="00883E21" w:rsidRDefault="00A35320"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 xml:space="preserve">Graphique </w:t>
      </w:r>
      <w:r w:rsidR="001E05A8" w:rsidRPr="00883E21">
        <w:rPr>
          <w:rFonts w:ascii="Garamond" w:hAnsi="Garamond" w:cstheme="majorBidi"/>
          <w:b/>
          <w:bCs/>
          <w:sz w:val="20"/>
          <w:szCs w:val="20"/>
        </w:rPr>
        <w:t>n°0</w:t>
      </w:r>
      <w:r w:rsidRPr="00883E21">
        <w:rPr>
          <w:rFonts w:ascii="Garamond" w:hAnsi="Garamond" w:cstheme="majorBidi"/>
          <w:b/>
          <w:bCs/>
          <w:sz w:val="20"/>
          <w:szCs w:val="20"/>
        </w:rPr>
        <w:t>6</w:t>
      </w:r>
      <w:r w:rsidR="001E05A8" w:rsidRPr="00883E21">
        <w:rPr>
          <w:rFonts w:ascii="Garamond" w:hAnsi="Garamond" w:cstheme="majorBidi"/>
          <w:b/>
          <w:bCs/>
          <w:sz w:val="20"/>
          <w:szCs w:val="20"/>
        </w:rPr>
        <w:t>: la prévalence des maladies chroniques en % de la population totale en Algérie.</w:t>
      </w:r>
    </w:p>
    <w:p w:rsidR="001E05A8" w:rsidRPr="00883E21" w:rsidRDefault="001E05A8" w:rsidP="00883E21">
      <w:pPr>
        <w:spacing w:after="0" w:line="240" w:lineRule="auto"/>
        <w:jc w:val="both"/>
        <w:rPr>
          <w:rFonts w:ascii="Garamond" w:hAnsi="Garamond" w:cstheme="majorBidi"/>
          <w:sz w:val="20"/>
          <w:szCs w:val="20"/>
        </w:rPr>
      </w:pPr>
      <w:r w:rsidRPr="00883E21">
        <w:rPr>
          <w:rFonts w:ascii="Garamond" w:hAnsi="Garamond" w:cstheme="majorBidi"/>
          <w:noProof/>
          <w:sz w:val="20"/>
          <w:szCs w:val="20"/>
          <w:lang w:eastAsia="fr-FR"/>
        </w:rPr>
        <w:drawing>
          <wp:inline distT="0" distB="0" distL="0" distR="0">
            <wp:extent cx="4251499" cy="2190540"/>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lum bright="10000" contrast="20000"/>
                    </a:blip>
                    <a:srcRect/>
                    <a:stretch>
                      <a:fillRect/>
                    </a:stretch>
                  </pic:blipFill>
                  <pic:spPr bwMode="auto">
                    <a:xfrm>
                      <a:off x="0" y="0"/>
                      <a:ext cx="4262317" cy="2196114"/>
                    </a:xfrm>
                    <a:prstGeom prst="rect">
                      <a:avLst/>
                    </a:prstGeom>
                    <a:noFill/>
                    <a:ln w="9525">
                      <a:noFill/>
                      <a:miter lim="800000"/>
                      <a:headEnd/>
                      <a:tailEnd/>
                    </a:ln>
                  </pic:spPr>
                </pic:pic>
              </a:graphicData>
            </a:graphic>
          </wp:inline>
        </w:drawing>
      </w:r>
    </w:p>
    <w:p w:rsidR="001E05A8" w:rsidRPr="00C077CA" w:rsidRDefault="001E05A8" w:rsidP="00883E21">
      <w:pPr>
        <w:spacing w:after="0" w:line="240" w:lineRule="auto"/>
        <w:jc w:val="both"/>
        <w:rPr>
          <w:rFonts w:asciiTheme="minorBidi" w:hAnsiTheme="minorBidi"/>
          <w:i/>
          <w:iCs/>
          <w:sz w:val="16"/>
          <w:szCs w:val="16"/>
        </w:rPr>
      </w:pPr>
      <w:r w:rsidRPr="00C077CA">
        <w:rPr>
          <w:rFonts w:asciiTheme="minorBidi" w:hAnsiTheme="minorBidi"/>
          <w:i/>
          <w:iCs/>
          <w:sz w:val="16"/>
          <w:szCs w:val="16"/>
        </w:rPr>
        <w:t>Source : INSP : enquête nationale santé, transition épidémiologique et système de santé, Alger novembre 2007. P.60.</w:t>
      </w:r>
    </w:p>
    <w:p w:rsidR="001E05A8" w:rsidRPr="00883E21" w:rsidRDefault="001E05A8" w:rsidP="00883E21">
      <w:pPr>
        <w:spacing w:after="0" w:line="240" w:lineRule="auto"/>
        <w:jc w:val="both"/>
        <w:rPr>
          <w:rFonts w:ascii="Garamond" w:hAnsi="Garamond" w:cstheme="majorBidi"/>
          <w:sz w:val="20"/>
          <w:szCs w:val="20"/>
        </w:rPr>
      </w:pPr>
    </w:p>
    <w:p w:rsidR="001E05A8" w:rsidRPr="00883E21"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lastRenderedPageBreak/>
        <w:t xml:space="preserve">Pour ce qui est du cancer, les formes les plus fréquentes chez l'homme sont celles du poumon et de la vessie, et chez les femmes ; c’est le cancer du col de l'utérus et du sein. Le taux de prévalence du cancer dans notre pays est passé de 80 cas pour 100 000 personnes dans les années 1990 à 120 cas en 2008. Il devrait atteindre 300 cas pour 100 000 personnes d’ici 2018 et enregistrer un taux comparable à ceux que l’on retrouve dans les pays développés. Un autre chiffre révélateur de l’expansion de cette pathologie est mis en avant par le ministère de la santé. En effet, en 2008, le cancer représentait 21% des causes de mortalité en Algérie et un tiers des décès causés par des maladies non-transmissibles dans la tranche d’âge 30-70 ans. </w:t>
      </w:r>
    </w:p>
    <w:p w:rsidR="001E05A8" w:rsidRPr="00883E21"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La prévalence des maladies chroniques augmente avec l'âge. Ainsi, il est constaté que dans le cas de l'hypertension artérielle, 20% des cas représentent la tranche d'âge des 60 à 69 ans et dans 26% des cas chez les sujets âgés de 70 ans et plus.</w:t>
      </w:r>
    </w:p>
    <w:p w:rsidR="001E05A8" w:rsidRPr="00883E21" w:rsidRDefault="001E05A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De la même façon, le diabète est observé dans 10,6% dans le groupe de personnes âgées de 60 à 69 ans. Les maladies articulaires sont observées chez 13% des personnes de plus de 70 ans. Le diabète, les maladies cardiovasculaires, celles des articulations et l'asthme sont plus répandus chez la femme, alors que les maladies mentales sont plus fréquentes chez l'homme. </w:t>
      </w:r>
    </w:p>
    <w:p w:rsidR="00024C62" w:rsidRDefault="00024C62"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Le taux de prévalence de l’hypertension artérielle est passé en 2008 à 33% chez les femmes et à 34% chez les hommes selon l’OMS, celui de la prévalence de l’élévation de la glycémie à jeun chez les adultes de 25 ans et plus est de 9,3% chez les femmes et de 9% chez les hommes</w:t>
      </w:r>
      <w:r w:rsidRPr="00883E21">
        <w:rPr>
          <w:rStyle w:val="Appelnotedebasdep"/>
          <w:rFonts w:ascii="Garamond" w:hAnsi="Garamond" w:cstheme="majorBidi"/>
          <w:sz w:val="20"/>
          <w:szCs w:val="20"/>
        </w:rPr>
        <w:footnoteReference w:id="7"/>
      </w:r>
      <w:r w:rsidRPr="00883E21">
        <w:rPr>
          <w:rFonts w:ascii="Garamond" w:hAnsi="Garamond" w:cstheme="majorBidi"/>
          <w:sz w:val="20"/>
          <w:szCs w:val="20"/>
        </w:rPr>
        <w:t xml:space="preserve">. </w:t>
      </w:r>
    </w:p>
    <w:p w:rsidR="00126C7A" w:rsidRPr="00883E21" w:rsidRDefault="00126C7A" w:rsidP="00883E21">
      <w:pPr>
        <w:spacing w:after="0" w:line="240" w:lineRule="auto"/>
        <w:jc w:val="both"/>
        <w:rPr>
          <w:rFonts w:ascii="Garamond" w:hAnsi="Garamond" w:cstheme="majorBidi"/>
          <w:sz w:val="20"/>
          <w:szCs w:val="20"/>
          <w:highlight w:val="yellow"/>
        </w:rPr>
      </w:pPr>
    </w:p>
    <w:p w:rsidR="001E05A8" w:rsidRPr="00883E21" w:rsidRDefault="00024C62" w:rsidP="00883E21">
      <w:pPr>
        <w:pStyle w:val="Paragraphedeliste"/>
        <w:numPr>
          <w:ilvl w:val="0"/>
          <w:numId w:val="5"/>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t xml:space="preserve">La transition démographique. </w:t>
      </w:r>
    </w:p>
    <w:p w:rsidR="00024C62" w:rsidRPr="00883E21" w:rsidRDefault="00024C62"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Le phénomène de transition démographique que connaisse l’Algérie depuis peut de temps et un phénomène mondial, que plusieurs pays dans le monde connaissent depuis longtemps en l’occurrence les pays d’Asie et d’Europe. </w:t>
      </w:r>
    </w:p>
    <w:p w:rsidR="00024C62" w:rsidRPr="00883E21" w:rsidRDefault="00024C62"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La situation s’explique par l’inversement de la pyramide d’âge avec un taux de natalité faible et un taux de mortalité aussi faible, la population algérienne tend à vieillir.</w:t>
      </w:r>
    </w:p>
    <w:p w:rsidR="00024C62" w:rsidRPr="00883E21" w:rsidRDefault="005F4566"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en 2014, l</w:t>
      </w:r>
      <w:r w:rsidR="00024C62" w:rsidRPr="00883E21">
        <w:rPr>
          <w:rFonts w:ascii="Garamond" w:hAnsi="Garamond" w:cstheme="majorBidi"/>
          <w:sz w:val="20"/>
          <w:szCs w:val="20"/>
        </w:rPr>
        <w:t>’indice synthétique de fécondité est passé de plus de 7 en 1970 à 2.78</w:t>
      </w:r>
      <w:r w:rsidRPr="00883E21">
        <w:rPr>
          <w:rFonts w:ascii="Garamond" w:hAnsi="Garamond" w:cstheme="majorBidi"/>
          <w:sz w:val="20"/>
          <w:szCs w:val="20"/>
        </w:rPr>
        <w:t>, le taux de croissance démographique s’est stabilisé autour de 20‰, l’espérance de vie à la naissance s’approche de 75 ans, l’indice de vieillissement avoisine les 10% avec des prévisions d’atteindre 30% d’ici 2050. L’ensemble de ses indicateurs sont le résultat de plusieurs facteurs :</w:t>
      </w:r>
    </w:p>
    <w:p w:rsidR="005F4566" w:rsidRPr="00883E21" w:rsidRDefault="005F4566" w:rsidP="00883E21">
      <w:pPr>
        <w:spacing w:after="0" w:line="240" w:lineRule="auto"/>
        <w:jc w:val="both"/>
        <w:rPr>
          <w:rFonts w:ascii="Garamond" w:hAnsi="Garamond" w:cstheme="majorBidi"/>
          <w:sz w:val="20"/>
          <w:szCs w:val="20"/>
        </w:rPr>
      </w:pPr>
    </w:p>
    <w:p w:rsidR="005F4566" w:rsidRPr="00883E21" w:rsidRDefault="005F4566" w:rsidP="00883E21">
      <w:pPr>
        <w:pStyle w:val="Paragraphedeliste"/>
        <w:numPr>
          <w:ilvl w:val="0"/>
          <w:numId w:val="8"/>
        </w:num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la baisse du pouvoir d’achat, </w:t>
      </w:r>
    </w:p>
    <w:p w:rsidR="005F4566" w:rsidRPr="00883E21" w:rsidRDefault="005F4566" w:rsidP="00883E21">
      <w:pPr>
        <w:pStyle w:val="Paragraphedeliste"/>
        <w:numPr>
          <w:ilvl w:val="0"/>
          <w:numId w:val="8"/>
        </w:num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L’urbanisation accrue renforcée par l’exode rural encouragé par l’industrialisation et les grands chantiers publics dans les villes (infrastructures, …), </w:t>
      </w:r>
    </w:p>
    <w:p w:rsidR="005F4566" w:rsidRPr="00883E21" w:rsidRDefault="005F4566" w:rsidP="00883E21">
      <w:pPr>
        <w:pStyle w:val="Paragraphedeliste"/>
        <w:numPr>
          <w:ilvl w:val="0"/>
          <w:numId w:val="8"/>
        </w:numPr>
        <w:spacing w:after="0" w:line="240" w:lineRule="auto"/>
        <w:jc w:val="both"/>
        <w:rPr>
          <w:rFonts w:ascii="Garamond" w:hAnsi="Garamond" w:cstheme="majorBidi"/>
          <w:sz w:val="20"/>
          <w:szCs w:val="20"/>
        </w:rPr>
      </w:pPr>
      <w:r w:rsidRPr="00883E21">
        <w:rPr>
          <w:rFonts w:ascii="Garamond" w:hAnsi="Garamond" w:cstheme="majorBidi"/>
          <w:sz w:val="20"/>
          <w:szCs w:val="20"/>
        </w:rPr>
        <w:t>La prise de conscience des risques des grossesses répétées, grâce à la scolarisation des filles,</w:t>
      </w:r>
    </w:p>
    <w:p w:rsidR="005F4566" w:rsidRPr="00883E21" w:rsidRDefault="005F4566" w:rsidP="00883E21">
      <w:pPr>
        <w:pStyle w:val="Paragraphedeliste"/>
        <w:numPr>
          <w:ilvl w:val="0"/>
          <w:numId w:val="8"/>
        </w:numPr>
        <w:spacing w:after="0" w:line="240" w:lineRule="auto"/>
        <w:jc w:val="both"/>
        <w:rPr>
          <w:rFonts w:ascii="Garamond" w:hAnsi="Garamond" w:cstheme="majorBidi"/>
          <w:sz w:val="20"/>
          <w:szCs w:val="20"/>
        </w:rPr>
      </w:pPr>
      <w:r w:rsidRPr="00883E21">
        <w:rPr>
          <w:rFonts w:ascii="Garamond" w:hAnsi="Garamond" w:cstheme="majorBidi"/>
          <w:sz w:val="20"/>
          <w:szCs w:val="20"/>
        </w:rPr>
        <w:t>Le développement du marché de travail des femmes,</w:t>
      </w:r>
    </w:p>
    <w:p w:rsidR="005F4566" w:rsidRPr="00883E21" w:rsidRDefault="005F4566" w:rsidP="00883E21">
      <w:pPr>
        <w:pStyle w:val="Paragraphedeliste"/>
        <w:numPr>
          <w:ilvl w:val="0"/>
          <w:numId w:val="8"/>
        </w:numPr>
        <w:spacing w:after="0" w:line="240" w:lineRule="auto"/>
        <w:jc w:val="both"/>
        <w:rPr>
          <w:rFonts w:ascii="Garamond" w:hAnsi="Garamond" w:cstheme="majorBidi"/>
          <w:sz w:val="20"/>
          <w:szCs w:val="20"/>
        </w:rPr>
      </w:pPr>
      <w:r w:rsidRPr="00883E21">
        <w:rPr>
          <w:rFonts w:ascii="Garamond" w:hAnsi="Garamond" w:cstheme="majorBidi"/>
          <w:sz w:val="20"/>
          <w:szCs w:val="20"/>
        </w:rPr>
        <w:t>Le changement des comportements des parents, qui cherche à investir plus sur la qualité de vie de leurs enfants.</w:t>
      </w:r>
    </w:p>
    <w:p w:rsidR="005F4566" w:rsidRPr="00883E21" w:rsidRDefault="005F4566" w:rsidP="00883E21">
      <w:pPr>
        <w:spacing w:after="0" w:line="240" w:lineRule="auto"/>
        <w:jc w:val="both"/>
        <w:rPr>
          <w:rFonts w:ascii="Garamond" w:hAnsi="Garamond" w:cstheme="majorBidi"/>
          <w:sz w:val="20"/>
          <w:szCs w:val="20"/>
        </w:rPr>
      </w:pPr>
    </w:p>
    <w:p w:rsidR="004B0C11" w:rsidRPr="00883E21" w:rsidRDefault="004B0C11" w:rsidP="00883E21">
      <w:pPr>
        <w:pStyle w:val="Paragraphedeliste"/>
        <w:numPr>
          <w:ilvl w:val="0"/>
          <w:numId w:val="5"/>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t xml:space="preserve">La transition socio-économique. </w:t>
      </w:r>
    </w:p>
    <w:p w:rsidR="00D3213C" w:rsidRPr="00883E21" w:rsidRDefault="00D3213C"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La transition socio-économique se manifeste par le changement de plusieurs indicateurs socio-économiques caractérisant la population algérienne. </w:t>
      </w:r>
    </w:p>
    <w:p w:rsidR="003026B0" w:rsidRPr="00883E21" w:rsidRDefault="003026B0" w:rsidP="00883E21">
      <w:pPr>
        <w:pStyle w:val="Paragraphedeliste"/>
        <w:numPr>
          <w:ilvl w:val="0"/>
          <w:numId w:val="7"/>
        </w:numPr>
        <w:spacing w:after="0" w:line="240" w:lineRule="auto"/>
        <w:jc w:val="both"/>
        <w:rPr>
          <w:rFonts w:ascii="Garamond" w:hAnsi="Garamond" w:cstheme="majorBidi"/>
          <w:sz w:val="20"/>
          <w:szCs w:val="20"/>
        </w:rPr>
      </w:pPr>
      <w:r w:rsidRPr="00883E21">
        <w:rPr>
          <w:rFonts w:ascii="Garamond" w:hAnsi="Garamond" w:cstheme="majorBidi"/>
          <w:b/>
          <w:bCs/>
          <w:sz w:val="20"/>
          <w:szCs w:val="20"/>
        </w:rPr>
        <w:t>La sédentarité</w:t>
      </w:r>
      <w:r w:rsidR="00D3213C" w:rsidRPr="00883E21">
        <w:rPr>
          <w:rFonts w:ascii="Garamond" w:hAnsi="Garamond" w:cstheme="majorBidi"/>
          <w:b/>
          <w:bCs/>
          <w:sz w:val="20"/>
          <w:szCs w:val="20"/>
        </w:rPr>
        <w:t> :</w:t>
      </w:r>
      <w:r w:rsidR="00D3213C" w:rsidRPr="00883E21">
        <w:rPr>
          <w:rFonts w:ascii="Garamond" w:hAnsi="Garamond" w:cstheme="majorBidi"/>
          <w:sz w:val="20"/>
          <w:szCs w:val="20"/>
        </w:rPr>
        <w:t xml:space="preserve"> </w:t>
      </w:r>
      <w:r w:rsidRPr="00883E21">
        <w:rPr>
          <w:rFonts w:ascii="Garamond" w:hAnsi="Garamond" w:cstheme="majorBidi"/>
          <w:sz w:val="20"/>
          <w:szCs w:val="20"/>
        </w:rPr>
        <w:t xml:space="preserve">elle </w:t>
      </w:r>
      <w:r w:rsidR="00D3213C" w:rsidRPr="00883E21">
        <w:rPr>
          <w:rFonts w:ascii="Garamond" w:hAnsi="Garamond" w:cstheme="majorBidi"/>
          <w:sz w:val="20"/>
          <w:szCs w:val="20"/>
        </w:rPr>
        <w:t>se manifeste par l’urbanisation accélérée de la population algérienne, passant de 1/3 de la population est urbain au lendemain de l’indépendance à plus des ¾ de la</w:t>
      </w:r>
      <w:r w:rsidRPr="00883E21">
        <w:rPr>
          <w:rFonts w:ascii="Garamond" w:hAnsi="Garamond" w:cstheme="majorBidi"/>
          <w:sz w:val="20"/>
          <w:szCs w:val="20"/>
        </w:rPr>
        <w:t xml:space="preserve"> population en 2014</w:t>
      </w:r>
      <w:r w:rsidR="000A3FA8" w:rsidRPr="00883E21">
        <w:rPr>
          <w:rFonts w:ascii="Garamond" w:hAnsi="Garamond" w:cstheme="majorBidi"/>
          <w:sz w:val="20"/>
          <w:szCs w:val="20"/>
        </w:rPr>
        <w:t xml:space="preserve"> (75,39% en 2014)</w:t>
      </w:r>
      <w:r w:rsidR="000A3FA8" w:rsidRPr="00883E21">
        <w:rPr>
          <w:rStyle w:val="Appelnotedebasdep"/>
          <w:rFonts w:ascii="Garamond" w:hAnsi="Garamond" w:cstheme="majorBidi"/>
          <w:sz w:val="20"/>
          <w:szCs w:val="20"/>
        </w:rPr>
        <w:t xml:space="preserve"> </w:t>
      </w:r>
      <w:r w:rsidR="000A3FA8" w:rsidRPr="00883E21">
        <w:rPr>
          <w:rStyle w:val="Appelnotedebasdep"/>
          <w:rFonts w:ascii="Garamond" w:hAnsi="Garamond" w:cstheme="majorBidi"/>
          <w:sz w:val="20"/>
          <w:szCs w:val="20"/>
        </w:rPr>
        <w:footnoteReference w:id="8"/>
      </w:r>
      <w:r w:rsidRPr="00883E21">
        <w:rPr>
          <w:rFonts w:ascii="Garamond" w:hAnsi="Garamond" w:cstheme="majorBidi"/>
          <w:sz w:val="20"/>
          <w:szCs w:val="20"/>
        </w:rPr>
        <w:t xml:space="preserve">. </w:t>
      </w:r>
      <w:r w:rsidR="00D3213C" w:rsidRPr="00883E21">
        <w:rPr>
          <w:rFonts w:ascii="Garamond" w:hAnsi="Garamond" w:cstheme="majorBidi"/>
          <w:sz w:val="20"/>
          <w:szCs w:val="20"/>
        </w:rPr>
        <w:t xml:space="preserve"> </w:t>
      </w:r>
    </w:p>
    <w:p w:rsidR="003026B0" w:rsidRPr="00883E21" w:rsidRDefault="003026B0" w:rsidP="00883E21">
      <w:pPr>
        <w:pStyle w:val="Paragraphedeliste"/>
        <w:numPr>
          <w:ilvl w:val="0"/>
          <w:numId w:val="7"/>
        </w:numPr>
        <w:spacing w:after="0" w:line="240" w:lineRule="auto"/>
        <w:jc w:val="both"/>
        <w:rPr>
          <w:rFonts w:ascii="Garamond" w:hAnsi="Garamond" w:cstheme="majorBidi"/>
          <w:sz w:val="20"/>
          <w:szCs w:val="20"/>
        </w:rPr>
      </w:pPr>
      <w:r w:rsidRPr="00883E21">
        <w:rPr>
          <w:rFonts w:ascii="Garamond" w:hAnsi="Garamond" w:cstheme="majorBidi"/>
          <w:b/>
          <w:bCs/>
          <w:sz w:val="20"/>
          <w:szCs w:val="20"/>
        </w:rPr>
        <w:t>Le changement des habitudes alimentaires :</w:t>
      </w:r>
      <w:r w:rsidRPr="00883E21">
        <w:rPr>
          <w:rFonts w:ascii="Garamond" w:hAnsi="Garamond" w:cstheme="majorBidi"/>
          <w:sz w:val="20"/>
          <w:szCs w:val="20"/>
        </w:rPr>
        <w:t xml:space="preserve"> la sédentarité et la baisse du pouvoir d’achat des algériens à modifié manifestement leurs habitudes alimentaires. La consommation des fruits et des légumes a sensiblement baissé en faveur des sandwichs, des pizzas, des sucreries et des surgelés. Ce qui engendre le problème de l’obésité, en Algérie un enfant sur trois est obèse et risque de le rester toute sa vie en 2010, et 60% des personnes âgées entre 35 ans et 70 ans ont un surpoids, dont 22% sont obèses selon le ministère de la santé. Le problème de malnutrition et du surpoids est souvent associé au diabète, aux cardiopathies, et au cancer. </w:t>
      </w:r>
    </w:p>
    <w:p w:rsidR="003026B0" w:rsidRPr="00883E21" w:rsidRDefault="003026B0" w:rsidP="00883E21">
      <w:pPr>
        <w:pStyle w:val="Paragraphedeliste"/>
        <w:spacing w:after="0" w:line="240" w:lineRule="auto"/>
        <w:jc w:val="both"/>
        <w:rPr>
          <w:rFonts w:ascii="Garamond" w:hAnsi="Garamond" w:cstheme="majorBidi"/>
          <w:sz w:val="20"/>
          <w:szCs w:val="20"/>
        </w:rPr>
      </w:pPr>
      <w:r w:rsidRPr="00883E21">
        <w:rPr>
          <w:rFonts w:ascii="Garamond" w:hAnsi="Garamond" w:cstheme="majorBidi"/>
          <w:sz w:val="20"/>
          <w:szCs w:val="20"/>
        </w:rPr>
        <w:t xml:space="preserve">Concernant le tabagisme, sa consommation est en nette augmentation bien que l’Algérie a ratifié par le décret présidentiel n°06-120 du 12 mars 2006, la convention de l’OMS pour la lutte anti tabac adoptée à GENEVE le 21 mai 2003. 90% des cas de cancer du poumon en Algérie sont causés par le tabac. La consommation annuelle du tabac est estimée à 25 000 tonnes avec un accroissement annuel de 5% en moyenne. La prévalence du tabagisme totale en 2011 est de 29% avec une prévalence tabagique par sexe de 49% pour le sexe masculin et 7% pour le sexe féminin. 25% des fumeurs sont âgés de moins de 21 ans et </w:t>
      </w:r>
      <w:r w:rsidRPr="00883E21">
        <w:rPr>
          <w:rFonts w:ascii="Garamond" w:hAnsi="Garamond" w:cstheme="majorBidi"/>
          <w:sz w:val="20"/>
          <w:szCs w:val="20"/>
        </w:rPr>
        <w:lastRenderedPageBreak/>
        <w:t>25 % entre 21 et 27ans</w:t>
      </w:r>
      <w:r w:rsidRPr="00883E21">
        <w:rPr>
          <w:rStyle w:val="Appelnotedebasdep"/>
          <w:rFonts w:ascii="Garamond" w:hAnsi="Garamond" w:cstheme="majorBidi"/>
          <w:sz w:val="20"/>
          <w:szCs w:val="20"/>
        </w:rPr>
        <w:footnoteReference w:id="9"/>
      </w:r>
      <w:r w:rsidRPr="00883E21">
        <w:rPr>
          <w:rFonts w:ascii="Garamond" w:hAnsi="Garamond" w:cstheme="majorBidi"/>
          <w:sz w:val="20"/>
          <w:szCs w:val="20"/>
        </w:rPr>
        <w:t>. Quant à la prévalence du tabagisme chez les adolescents de 13 à 15 ans, elle est de l’ordre de 26% chez le sexe masculin et 6% chez le sexe féminin pour la période 2005-2010, selon les données de l’OMS. Bien que le tabac reste le produit économique le plus lourdement taxé après les hydrocarbures, sa consommation ne cesse d’accroitre. Par ailleurs, on estime que malgré ses recettes fiscales qui représentent 21% de la fiscalité totale, chaque 1 dinar collecté par le trésor public, l’état algérien dépense 3 dinars dans le traitement des pathologies qui en résulte.</w:t>
      </w:r>
    </w:p>
    <w:p w:rsidR="003026B0" w:rsidRPr="00883E21" w:rsidRDefault="003026B0" w:rsidP="00883E21">
      <w:pPr>
        <w:pStyle w:val="Paragraphedeliste"/>
        <w:spacing w:after="0" w:line="240" w:lineRule="auto"/>
        <w:jc w:val="both"/>
        <w:rPr>
          <w:rFonts w:ascii="Garamond" w:hAnsi="Garamond" w:cstheme="majorBidi"/>
          <w:sz w:val="20"/>
          <w:szCs w:val="20"/>
        </w:rPr>
      </w:pPr>
      <w:r w:rsidRPr="00883E21">
        <w:rPr>
          <w:rFonts w:ascii="Garamond" w:hAnsi="Garamond" w:cstheme="majorBidi"/>
          <w:sz w:val="20"/>
          <w:szCs w:val="20"/>
        </w:rPr>
        <w:t>Pour ce qui est de la consommation de l’alcool, l’Algérie viennent en tête de liste ; Classée selon le rapport de l’OMS de 2013, le deuxième plus grand pays consommateur au Maghreb avec une consommation de 0,7 litre par habitant juste après la Tunisie (1.1 litre par habitant). La consommation totale est de 270.000 hectolitres dont 63% en bière, 35% en vin et 2% en autres diverses boissons</w:t>
      </w:r>
      <w:r w:rsidRPr="00883E21">
        <w:rPr>
          <w:rStyle w:val="Appelnotedebasdep"/>
          <w:rFonts w:ascii="Garamond" w:hAnsi="Garamond" w:cstheme="majorBidi"/>
          <w:sz w:val="20"/>
          <w:szCs w:val="20"/>
        </w:rPr>
        <w:footnoteReference w:id="10"/>
      </w:r>
      <w:r w:rsidRPr="00883E21">
        <w:rPr>
          <w:rFonts w:ascii="Garamond" w:hAnsi="Garamond" w:cstheme="majorBidi"/>
          <w:sz w:val="20"/>
          <w:szCs w:val="20"/>
        </w:rPr>
        <w:t>.</w:t>
      </w:r>
    </w:p>
    <w:p w:rsidR="003026B0" w:rsidRPr="00883E21" w:rsidRDefault="003026B0" w:rsidP="00883E21">
      <w:pPr>
        <w:pStyle w:val="Paragraphedeliste"/>
        <w:numPr>
          <w:ilvl w:val="0"/>
          <w:numId w:val="7"/>
        </w:numPr>
        <w:spacing w:line="240" w:lineRule="auto"/>
        <w:jc w:val="both"/>
        <w:rPr>
          <w:rFonts w:ascii="Garamond" w:hAnsi="Garamond" w:cstheme="majorBidi"/>
          <w:sz w:val="20"/>
          <w:szCs w:val="20"/>
        </w:rPr>
      </w:pPr>
      <w:r w:rsidRPr="00883E21">
        <w:rPr>
          <w:rFonts w:ascii="Garamond" w:hAnsi="Garamond" w:cstheme="majorBidi"/>
          <w:b/>
          <w:bCs/>
          <w:i/>
          <w:iCs/>
          <w:sz w:val="20"/>
          <w:szCs w:val="20"/>
        </w:rPr>
        <w:t>Le déséquilibre du système de retraite :</w:t>
      </w:r>
      <w:r w:rsidRPr="00883E21">
        <w:rPr>
          <w:rFonts w:ascii="Garamond" w:hAnsi="Garamond" w:cstheme="majorBidi"/>
          <w:sz w:val="20"/>
          <w:szCs w:val="20"/>
        </w:rPr>
        <w:t xml:space="preserve"> Selon les statistiques, la moitié de la population algérienne n’est pas concernée par le système de sécurité sociale. L’équilibre actifs/inactifs risque de se dégrader, notamment si l’on sait qu’en 1998 on comptait 8 travailleurs qui cotisent pour un retraité, aujourd’hui (2014) on ne compte que 2 travailleurs qui cotisent pour un retraité. Ceci est le résultat du vieillissement de la population, l’augmentation du nombre des retraités (451 000 en 1986, 1 032 000 en 1998, 2 500 000 en 2014) tandis que la population active occupée ne progresse pas avec le même rythme (2 647 952 en 1977, 4 341 102 en 1987, 4 958 520 en 1991, 7 568 000 en 2001, 9 599 000 en 2011)</w:t>
      </w:r>
      <w:r w:rsidRPr="00883E21">
        <w:rPr>
          <w:rStyle w:val="Appelnotedebasdep"/>
          <w:rFonts w:ascii="Garamond" w:hAnsi="Garamond" w:cstheme="majorBidi"/>
          <w:sz w:val="20"/>
          <w:szCs w:val="20"/>
        </w:rPr>
        <w:footnoteReference w:id="11"/>
      </w:r>
      <w:r w:rsidRPr="00883E21">
        <w:rPr>
          <w:rFonts w:ascii="Garamond" w:hAnsi="Garamond" w:cstheme="majorBidi"/>
          <w:sz w:val="20"/>
          <w:szCs w:val="20"/>
        </w:rPr>
        <w:t xml:space="preserve">. Depuis 1985, le taux de prélèvement par salarié pour couvrir les dépenses d’assurance vieillesse a plus que doublé ; 7% en 1985 à 16 % en 2000 et 17,25% à partir de 2006. </w:t>
      </w:r>
    </w:p>
    <w:p w:rsidR="000A3FA8" w:rsidRPr="00883E21" w:rsidRDefault="003026B0" w:rsidP="00883E21">
      <w:pPr>
        <w:pStyle w:val="Paragraphedeliste"/>
        <w:numPr>
          <w:ilvl w:val="0"/>
          <w:numId w:val="7"/>
        </w:numPr>
        <w:spacing w:after="0" w:line="240" w:lineRule="auto"/>
        <w:jc w:val="both"/>
        <w:rPr>
          <w:rFonts w:ascii="Garamond" w:hAnsi="Garamond" w:cstheme="majorBidi"/>
          <w:sz w:val="20"/>
          <w:szCs w:val="20"/>
        </w:rPr>
      </w:pPr>
      <w:r w:rsidRPr="00883E21">
        <w:rPr>
          <w:rFonts w:ascii="Garamond" w:hAnsi="Garamond" w:cstheme="majorBidi"/>
          <w:b/>
          <w:bCs/>
          <w:i/>
          <w:iCs/>
          <w:sz w:val="20"/>
          <w:szCs w:val="20"/>
        </w:rPr>
        <w:t>Le chamboulement du marché de l’emploi :</w:t>
      </w:r>
      <w:r w:rsidRPr="00883E21">
        <w:rPr>
          <w:rFonts w:ascii="Garamond" w:hAnsi="Garamond" w:cstheme="majorBidi"/>
          <w:sz w:val="20"/>
          <w:szCs w:val="20"/>
        </w:rPr>
        <w:t xml:space="preserve"> selon les prévisions, la population active va dépasser la moitié de la population totale d’ici 2020. En effet, la demande d’emploi additionnelle sera très importante entre 500 et 800 000 par an, avec un taux d’activité des femmes variant de 10% en début de période à 50% en fin de période. Cette demande additionnelle s’ajoute naturellement au stock de demandeurs d’emplois déjà existant</w:t>
      </w:r>
      <w:r w:rsidR="009F2D69" w:rsidRPr="00883E21">
        <w:rPr>
          <w:rFonts w:ascii="Garamond" w:hAnsi="Garamond" w:cstheme="majorBidi"/>
          <w:sz w:val="20"/>
          <w:szCs w:val="20"/>
        </w:rPr>
        <w:t xml:space="preserve"> ce qui va augmenter encore le taux de chômage.</w:t>
      </w:r>
    </w:p>
    <w:p w:rsidR="009F2D69" w:rsidRPr="00883E21" w:rsidRDefault="009F2D69" w:rsidP="00883E21">
      <w:pPr>
        <w:pStyle w:val="Paragraphedeliste"/>
        <w:numPr>
          <w:ilvl w:val="0"/>
          <w:numId w:val="7"/>
        </w:numPr>
        <w:spacing w:after="0" w:line="240" w:lineRule="auto"/>
        <w:jc w:val="both"/>
        <w:rPr>
          <w:rFonts w:ascii="Garamond" w:hAnsi="Garamond" w:cstheme="majorBidi"/>
          <w:sz w:val="20"/>
          <w:szCs w:val="20"/>
        </w:rPr>
      </w:pPr>
      <w:r w:rsidRPr="00883E21">
        <w:rPr>
          <w:rFonts w:ascii="Garamond" w:hAnsi="Garamond" w:cstheme="majorBidi"/>
          <w:b/>
          <w:bCs/>
          <w:i/>
          <w:iCs/>
          <w:sz w:val="20"/>
          <w:szCs w:val="20"/>
        </w:rPr>
        <w:t>Le taux de scolarisation élevé :</w:t>
      </w:r>
      <w:r w:rsidRPr="00883E21">
        <w:rPr>
          <w:rFonts w:ascii="Garamond" w:hAnsi="Garamond" w:cstheme="majorBidi"/>
          <w:sz w:val="20"/>
          <w:szCs w:val="20"/>
        </w:rPr>
        <w:t xml:space="preserve"> Le taux de scolarisation en Algérie est parmi les taux les plus élevé, avoisinant les 98% en 2013. Quant au taux d’analphabétisme, il a reculé de 85% au lendemain de l’indépendance en 1962, 22% en 2008 et 18% en 2013. Le taux de passage du primaire au moyen s’élevé à 80%. Quant au taux de passage du cycle moyen au cycle secondaire, il est de l’ordre de 40% en 2013</w:t>
      </w:r>
      <w:r w:rsidRPr="00883E21">
        <w:rPr>
          <w:rStyle w:val="Appelnotedebasdep"/>
          <w:rFonts w:ascii="Garamond" w:hAnsi="Garamond" w:cstheme="majorBidi"/>
          <w:sz w:val="20"/>
          <w:szCs w:val="20"/>
        </w:rPr>
        <w:footnoteReference w:id="12"/>
      </w:r>
      <w:r w:rsidRPr="00883E21">
        <w:rPr>
          <w:rFonts w:ascii="Garamond" w:hAnsi="Garamond" w:cstheme="majorBidi"/>
          <w:sz w:val="20"/>
          <w:szCs w:val="20"/>
        </w:rPr>
        <w:t>.</w:t>
      </w:r>
    </w:p>
    <w:p w:rsidR="009F2D69" w:rsidRPr="00883E21" w:rsidRDefault="009F2D69" w:rsidP="00883E21">
      <w:pPr>
        <w:pStyle w:val="Paragraphedeliste"/>
        <w:numPr>
          <w:ilvl w:val="0"/>
          <w:numId w:val="7"/>
        </w:numPr>
        <w:spacing w:after="0" w:line="240" w:lineRule="auto"/>
        <w:jc w:val="both"/>
        <w:rPr>
          <w:rFonts w:ascii="Garamond" w:hAnsi="Garamond" w:cstheme="majorBidi"/>
          <w:sz w:val="20"/>
          <w:szCs w:val="20"/>
        </w:rPr>
      </w:pPr>
      <w:r w:rsidRPr="00883E21">
        <w:rPr>
          <w:rFonts w:ascii="Garamond" w:hAnsi="Garamond" w:cstheme="majorBidi"/>
          <w:b/>
          <w:bCs/>
          <w:i/>
          <w:iCs/>
          <w:sz w:val="20"/>
          <w:szCs w:val="20"/>
        </w:rPr>
        <w:t xml:space="preserve">Frais d’installation plus élevés pour les nouveaux couples : </w:t>
      </w:r>
      <w:r w:rsidRPr="00883E21">
        <w:rPr>
          <w:rFonts w:ascii="Garamond" w:hAnsi="Garamond" w:cstheme="majorBidi"/>
          <w:sz w:val="20"/>
          <w:szCs w:val="20"/>
        </w:rPr>
        <w:t>Sur le plan social, le nombre de famille par ménage à connu compte à lui une baisse. Les recensements montrent une tendance générale à la réduction du nombre de familles par ménage (1,02 en 2011 contre 1,15 en 1998 contre ; 1,25 en 1987  et 1,31 famille par ménage en 1966) et du nombre de familles par logement. Ce phénomène est appelé la nucléarisation des ménages.</w:t>
      </w:r>
    </w:p>
    <w:p w:rsidR="009F2D69" w:rsidRPr="00883E21" w:rsidRDefault="009F2D69" w:rsidP="00752AAC">
      <w:pPr>
        <w:pStyle w:val="Paragraphedeliste"/>
        <w:spacing w:line="240" w:lineRule="auto"/>
        <w:jc w:val="both"/>
        <w:rPr>
          <w:rFonts w:ascii="Garamond" w:hAnsi="Garamond" w:cstheme="majorBidi"/>
          <w:sz w:val="20"/>
          <w:szCs w:val="20"/>
        </w:rPr>
      </w:pPr>
      <w:r w:rsidRPr="00883E21">
        <w:rPr>
          <w:rFonts w:ascii="Garamond" w:hAnsi="Garamond" w:cstheme="majorBidi"/>
          <w:sz w:val="20"/>
          <w:szCs w:val="20"/>
        </w:rPr>
        <w:t>Les frais d’établissement engendrés pour les couples relèvent de moins en moins du groupe familial serait l’un des facteurs explicatif du relèvement de l’âge moyen au mariage. Selon l’ONS, l’âge moyen au mariage en Algérie est de 30 ans pour les femmes et plus de 35 ans pour les hommes. Ce constat aura comme conséquence l’orientation de l’épargne vers l’achat de biens de consommation durable notamment immobiliers.</w:t>
      </w:r>
    </w:p>
    <w:p w:rsidR="00D3213C" w:rsidRPr="00883E21" w:rsidRDefault="009F2D69" w:rsidP="00883E21">
      <w:pPr>
        <w:pStyle w:val="Paragraphedeliste"/>
        <w:numPr>
          <w:ilvl w:val="0"/>
          <w:numId w:val="7"/>
        </w:numPr>
        <w:spacing w:after="0" w:line="240" w:lineRule="auto"/>
        <w:jc w:val="both"/>
        <w:rPr>
          <w:rFonts w:ascii="Garamond" w:hAnsi="Garamond" w:cstheme="majorBidi"/>
          <w:sz w:val="20"/>
          <w:szCs w:val="20"/>
        </w:rPr>
      </w:pPr>
      <w:r w:rsidRPr="00883E21">
        <w:rPr>
          <w:rFonts w:ascii="Garamond" w:hAnsi="Garamond" w:cstheme="majorBidi"/>
          <w:b/>
          <w:bCs/>
          <w:i/>
          <w:iCs/>
          <w:sz w:val="20"/>
          <w:szCs w:val="20"/>
        </w:rPr>
        <w:t>L’amélioration du niveau de vie des algériens</w:t>
      </w:r>
      <w:r w:rsidR="00C845CD" w:rsidRPr="00883E21">
        <w:rPr>
          <w:rFonts w:ascii="Garamond" w:hAnsi="Garamond" w:cstheme="majorBidi"/>
          <w:b/>
          <w:bCs/>
          <w:i/>
          <w:iCs/>
          <w:sz w:val="20"/>
          <w:szCs w:val="20"/>
        </w:rPr>
        <w:t> :</w:t>
      </w:r>
      <w:r w:rsidRPr="00883E21">
        <w:rPr>
          <w:rFonts w:ascii="Garamond" w:hAnsi="Garamond" w:cstheme="majorBidi"/>
          <w:b/>
          <w:bCs/>
          <w:sz w:val="20"/>
          <w:szCs w:val="20"/>
        </w:rPr>
        <w:t> </w:t>
      </w:r>
      <w:r w:rsidR="00C845CD" w:rsidRPr="00883E21">
        <w:rPr>
          <w:rFonts w:ascii="Garamond" w:eastAsia="Times New Roman" w:hAnsi="Garamond" w:cstheme="majorBidi"/>
          <w:color w:val="444444"/>
          <w:sz w:val="20"/>
          <w:szCs w:val="20"/>
          <w:lang w:eastAsia="fr-FR"/>
        </w:rPr>
        <w:t>l</w:t>
      </w:r>
      <w:r w:rsidRPr="00883E21">
        <w:rPr>
          <w:rFonts w:ascii="Garamond" w:eastAsia="Times New Roman" w:hAnsi="Garamond" w:cstheme="majorBidi"/>
          <w:color w:val="444444"/>
          <w:sz w:val="20"/>
          <w:szCs w:val="20"/>
          <w:lang w:eastAsia="fr-FR"/>
        </w:rPr>
        <w:t>’IDH algérien est passé de moins de 0,5 en 1980 à plus de 0,7 en 2014 grâce à l’amélioration de l’espérance de vie à la naissance, au taux de scolarisation et d’alphabétisation et l’augmentation du PIB par habitant</w:t>
      </w:r>
      <w:r w:rsidR="000A3FA8" w:rsidRPr="00883E21">
        <w:rPr>
          <w:rFonts w:ascii="Garamond" w:eastAsia="Times New Roman" w:hAnsi="Garamond" w:cstheme="majorBidi"/>
          <w:color w:val="444444"/>
          <w:sz w:val="20"/>
          <w:szCs w:val="20"/>
          <w:lang w:eastAsia="fr-FR"/>
        </w:rPr>
        <w:t xml:space="preserve"> (estimé à près de 7500 $par habitant</w:t>
      </w:r>
      <w:r w:rsidR="00C845CD" w:rsidRPr="00883E21">
        <w:rPr>
          <w:rFonts w:ascii="Garamond" w:eastAsia="Times New Roman" w:hAnsi="Garamond" w:cstheme="majorBidi"/>
          <w:color w:val="444444"/>
          <w:sz w:val="20"/>
          <w:szCs w:val="20"/>
          <w:lang w:eastAsia="fr-FR"/>
        </w:rPr>
        <w:t xml:space="preserve"> en 2014</w:t>
      </w:r>
      <w:r w:rsidR="000A3FA8" w:rsidRPr="00883E21">
        <w:rPr>
          <w:rFonts w:ascii="Garamond" w:eastAsia="Times New Roman" w:hAnsi="Garamond" w:cstheme="majorBidi"/>
          <w:color w:val="444444"/>
          <w:sz w:val="20"/>
          <w:szCs w:val="20"/>
          <w:lang w:eastAsia="fr-FR"/>
        </w:rPr>
        <w:t>)</w:t>
      </w:r>
      <w:r w:rsidR="00C845CD" w:rsidRPr="00883E21">
        <w:rPr>
          <w:rStyle w:val="Appelnotedebasdep"/>
          <w:rFonts w:ascii="Garamond" w:eastAsia="Times New Roman" w:hAnsi="Garamond" w:cstheme="majorBidi"/>
          <w:color w:val="444444"/>
          <w:sz w:val="20"/>
          <w:szCs w:val="20"/>
          <w:lang w:eastAsia="fr-FR"/>
        </w:rPr>
        <w:footnoteReference w:id="13"/>
      </w:r>
    </w:p>
    <w:p w:rsidR="000A3FA8" w:rsidRPr="00883E21" w:rsidRDefault="000A3FA8" w:rsidP="00883E21">
      <w:pPr>
        <w:spacing w:after="0" w:line="240" w:lineRule="auto"/>
        <w:jc w:val="both"/>
        <w:rPr>
          <w:rFonts w:ascii="Garamond" w:hAnsi="Garamond" w:cstheme="majorBidi"/>
          <w:sz w:val="20"/>
          <w:szCs w:val="20"/>
        </w:rPr>
      </w:pPr>
    </w:p>
    <w:p w:rsidR="0028646A" w:rsidRPr="00883E21" w:rsidRDefault="0028646A" w:rsidP="00883E21">
      <w:pPr>
        <w:spacing w:line="240" w:lineRule="auto"/>
        <w:jc w:val="both"/>
        <w:rPr>
          <w:rFonts w:ascii="Garamond" w:hAnsi="Garamond" w:cstheme="majorBidi"/>
          <w:sz w:val="20"/>
          <w:szCs w:val="20"/>
        </w:rPr>
      </w:pPr>
      <w:r w:rsidRPr="00883E21">
        <w:rPr>
          <w:rFonts w:ascii="Garamond" w:hAnsi="Garamond" w:cstheme="majorBidi"/>
          <w:sz w:val="20"/>
          <w:szCs w:val="20"/>
        </w:rPr>
        <w:t>La société algérienne a connue plusieurs mutations d’ordre épidémiologique, social et économique, l’ayant plongée dans un processus de transition sanitaire accéléré, d’une part les maladies transmissibles qui persistent encore à l’égard des zoonoses et des maladies sexuellement transmissibles, qui ne cessent de faire des ravages dans le pays.</w:t>
      </w:r>
    </w:p>
    <w:p w:rsidR="0028646A" w:rsidRPr="00883E21" w:rsidRDefault="0028646A" w:rsidP="00883E21">
      <w:pPr>
        <w:spacing w:line="240" w:lineRule="auto"/>
        <w:jc w:val="both"/>
        <w:rPr>
          <w:rFonts w:ascii="Garamond" w:hAnsi="Garamond" w:cstheme="majorBidi"/>
          <w:sz w:val="20"/>
          <w:szCs w:val="20"/>
        </w:rPr>
      </w:pPr>
      <w:r w:rsidRPr="00883E21">
        <w:rPr>
          <w:rFonts w:ascii="Garamond" w:hAnsi="Garamond" w:cstheme="majorBidi"/>
          <w:sz w:val="20"/>
          <w:szCs w:val="20"/>
        </w:rPr>
        <w:t xml:space="preserve">D’autre part, le développement des maladies chroniques, maladies dégénératives de longues durées et surtout mortelles suite à l’allongement de l’espérance de vie à la naissance, la dégradation de l’hygiène alimentaire et de vie, l’urbanisation, l’alphabétisation accrue et la baisse de la fécondité. </w:t>
      </w:r>
    </w:p>
    <w:p w:rsidR="0028646A" w:rsidRDefault="0028646A" w:rsidP="00883E21">
      <w:pPr>
        <w:spacing w:line="240" w:lineRule="auto"/>
        <w:jc w:val="both"/>
        <w:rPr>
          <w:rFonts w:ascii="Garamond" w:hAnsi="Garamond" w:cstheme="majorBidi"/>
          <w:sz w:val="20"/>
          <w:szCs w:val="20"/>
        </w:rPr>
      </w:pPr>
      <w:r w:rsidRPr="00883E21">
        <w:rPr>
          <w:rFonts w:ascii="Garamond" w:hAnsi="Garamond" w:cstheme="majorBidi"/>
          <w:sz w:val="20"/>
          <w:szCs w:val="20"/>
        </w:rPr>
        <w:t>De ce fait, le système de santé algérien se trouve contraint de faire face à des coûts de prise en charge importants, mais surtout doit adapter son offre de soins à la nouvelle demande en termes de personnel et de structures sanitaires.</w:t>
      </w:r>
    </w:p>
    <w:p w:rsidR="00752AAC" w:rsidRPr="00883E21" w:rsidRDefault="00752AAC" w:rsidP="00883E21">
      <w:pPr>
        <w:spacing w:line="240" w:lineRule="auto"/>
        <w:jc w:val="both"/>
        <w:rPr>
          <w:rFonts w:ascii="Garamond" w:hAnsi="Garamond" w:cstheme="majorBidi"/>
          <w:sz w:val="20"/>
          <w:szCs w:val="20"/>
        </w:rPr>
      </w:pPr>
    </w:p>
    <w:p w:rsidR="000A3FA8" w:rsidRPr="00883E21" w:rsidRDefault="0028646A" w:rsidP="00883E21">
      <w:pPr>
        <w:pStyle w:val="Paragraphedeliste"/>
        <w:numPr>
          <w:ilvl w:val="0"/>
          <w:numId w:val="5"/>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lastRenderedPageBreak/>
        <w:t>L’offre de soins en Algérie.</w:t>
      </w:r>
    </w:p>
    <w:p w:rsidR="00C15B84" w:rsidRPr="00883E21" w:rsidRDefault="00C15B84" w:rsidP="00883E21">
      <w:pPr>
        <w:spacing w:after="0" w:line="240" w:lineRule="auto"/>
        <w:jc w:val="both"/>
        <w:rPr>
          <w:rFonts w:ascii="Garamond" w:hAnsi="Garamond" w:cstheme="majorBidi"/>
          <w:sz w:val="20"/>
          <w:szCs w:val="20"/>
        </w:rPr>
      </w:pPr>
    </w:p>
    <w:p w:rsidR="00724561" w:rsidRPr="00883E21" w:rsidRDefault="00752AAC"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Le</w:t>
      </w:r>
      <w:r w:rsidR="00872A48" w:rsidRPr="00883E21">
        <w:rPr>
          <w:rFonts w:ascii="Garamond" w:hAnsi="Garamond" w:cstheme="majorBidi"/>
          <w:sz w:val="20"/>
          <w:szCs w:val="20"/>
        </w:rPr>
        <w:t xml:space="preserve"> système national de santé</w:t>
      </w:r>
      <w:r w:rsidR="00724561" w:rsidRPr="00883E21">
        <w:rPr>
          <w:rFonts w:ascii="Garamond" w:hAnsi="Garamond" w:cstheme="majorBidi"/>
          <w:sz w:val="20"/>
          <w:szCs w:val="20"/>
        </w:rPr>
        <w:t xml:space="preserve"> est l’ensemble des activités et des moyens destinés à assurer la protection et la promoti</w:t>
      </w:r>
      <w:r w:rsidR="00872A48" w:rsidRPr="00883E21">
        <w:rPr>
          <w:rFonts w:ascii="Garamond" w:hAnsi="Garamond" w:cstheme="majorBidi"/>
          <w:sz w:val="20"/>
          <w:szCs w:val="20"/>
        </w:rPr>
        <w:t xml:space="preserve">on de la santé de la population. Il </w:t>
      </w:r>
      <w:r w:rsidR="00724561" w:rsidRPr="00883E21">
        <w:rPr>
          <w:rFonts w:ascii="Garamond" w:hAnsi="Garamond" w:cstheme="majorBidi"/>
          <w:sz w:val="20"/>
          <w:szCs w:val="20"/>
        </w:rPr>
        <w:t xml:space="preserve">est organisé de manière à pouvoir prendre en charge les besoins de la population en matière de santé de façon globale, cohérente et unifiée dans le cadre de la carte sanitaire. Il est conçu </w:t>
      </w:r>
      <w:r w:rsidR="00872A48" w:rsidRPr="00883E21">
        <w:rPr>
          <w:rFonts w:ascii="Garamond" w:hAnsi="Garamond" w:cstheme="majorBidi"/>
          <w:sz w:val="20"/>
          <w:szCs w:val="20"/>
        </w:rPr>
        <w:t xml:space="preserve">dans l’objectif d’améliorer </w:t>
      </w:r>
      <w:r w:rsidR="00724561" w:rsidRPr="00883E21">
        <w:rPr>
          <w:rFonts w:ascii="Garamond" w:hAnsi="Garamond" w:cstheme="majorBidi"/>
          <w:sz w:val="20"/>
          <w:szCs w:val="20"/>
        </w:rPr>
        <w:t>la santé des populations, l’équité et la capacité de répondre aux attentes légitimes des populations.</w:t>
      </w:r>
    </w:p>
    <w:p w:rsidR="00071B6D" w:rsidRPr="00883E21" w:rsidRDefault="00872A4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Depuis 1995, </w:t>
      </w:r>
      <w:r w:rsidR="00C15B84" w:rsidRPr="00883E21">
        <w:rPr>
          <w:rFonts w:ascii="Garamond" w:hAnsi="Garamond" w:cstheme="majorBidi"/>
          <w:sz w:val="20"/>
          <w:szCs w:val="20"/>
        </w:rPr>
        <w:t>cinq</w:t>
      </w:r>
      <w:r w:rsidR="00071B6D" w:rsidRPr="00883E21">
        <w:rPr>
          <w:rFonts w:ascii="Garamond" w:hAnsi="Garamond" w:cstheme="majorBidi"/>
          <w:sz w:val="20"/>
          <w:szCs w:val="20"/>
        </w:rPr>
        <w:t xml:space="preserve"> régions sanitaires</w:t>
      </w:r>
      <w:r w:rsidRPr="00883E21">
        <w:rPr>
          <w:rFonts w:ascii="Garamond" w:hAnsi="Garamond" w:cstheme="majorBidi"/>
          <w:sz w:val="20"/>
          <w:szCs w:val="20"/>
        </w:rPr>
        <w:t xml:space="preserve"> sont adopté</w:t>
      </w:r>
      <w:r w:rsidR="00071B6D" w:rsidRPr="00883E21">
        <w:rPr>
          <w:rFonts w:ascii="Garamond" w:hAnsi="Garamond" w:cstheme="majorBidi"/>
          <w:sz w:val="20"/>
          <w:szCs w:val="20"/>
        </w:rPr>
        <w:t>e</w:t>
      </w:r>
      <w:r w:rsidRPr="00883E21">
        <w:rPr>
          <w:rFonts w:ascii="Garamond" w:hAnsi="Garamond" w:cstheme="majorBidi"/>
          <w:sz w:val="20"/>
          <w:szCs w:val="20"/>
        </w:rPr>
        <w:t>s</w:t>
      </w:r>
      <w:r w:rsidR="00071B6D" w:rsidRPr="00883E21">
        <w:rPr>
          <w:rFonts w:ascii="Garamond" w:hAnsi="Garamond" w:cstheme="majorBidi"/>
          <w:sz w:val="20"/>
          <w:szCs w:val="20"/>
        </w:rPr>
        <w:t>. Il s’agit des régions : Centre, Est, Ouest, Sud-est et Sud-ouest. Le tableau suivant présente la composition de chaque région sanitaire.</w:t>
      </w:r>
    </w:p>
    <w:p w:rsidR="00071B6D" w:rsidRPr="00883E21" w:rsidRDefault="00071B6D" w:rsidP="00883E21">
      <w:pPr>
        <w:spacing w:after="0" w:line="240" w:lineRule="auto"/>
        <w:jc w:val="both"/>
        <w:rPr>
          <w:rFonts w:ascii="Garamond" w:hAnsi="Garamond" w:cstheme="majorBidi"/>
          <w:b/>
          <w:bCs/>
          <w:sz w:val="20"/>
          <w:szCs w:val="20"/>
        </w:rPr>
      </w:pPr>
    </w:p>
    <w:p w:rsidR="00071B6D" w:rsidRPr="00883E21" w:rsidRDefault="00071B6D"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Tableau n° 1 : répartition des wilayas sur les régions sanitaires.</w:t>
      </w:r>
    </w:p>
    <w:tbl>
      <w:tblPr>
        <w:tblStyle w:val="Grilledutableau"/>
        <w:tblW w:w="9464" w:type="dxa"/>
        <w:tblLayout w:type="fixed"/>
        <w:tblLook w:val="04A0"/>
      </w:tblPr>
      <w:tblGrid>
        <w:gridCol w:w="1682"/>
        <w:gridCol w:w="1545"/>
        <w:gridCol w:w="1843"/>
        <w:gridCol w:w="1701"/>
        <w:gridCol w:w="1276"/>
        <w:gridCol w:w="1417"/>
      </w:tblGrid>
      <w:tr w:rsidR="00071B6D" w:rsidRPr="00883E21" w:rsidTr="00C15B84">
        <w:tc>
          <w:tcPr>
            <w:tcW w:w="1682"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 xml:space="preserve">Régions sanitaires </w:t>
            </w:r>
          </w:p>
        </w:tc>
        <w:tc>
          <w:tcPr>
            <w:tcW w:w="1545"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Centre (chef lieu  « Alger »)</w:t>
            </w:r>
          </w:p>
        </w:tc>
        <w:tc>
          <w:tcPr>
            <w:tcW w:w="1843"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Ouest (chef lieu « Oran »)</w:t>
            </w:r>
          </w:p>
        </w:tc>
        <w:tc>
          <w:tcPr>
            <w:tcW w:w="1701"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Est (chef lieu «Constantine ») </w:t>
            </w:r>
          </w:p>
        </w:tc>
        <w:tc>
          <w:tcPr>
            <w:tcW w:w="1276"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Sud-ouest (chef lieu « Béchar »)</w:t>
            </w:r>
          </w:p>
        </w:tc>
        <w:tc>
          <w:tcPr>
            <w:tcW w:w="1417"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Sud-est (chef lieu « Ouargla »)</w:t>
            </w:r>
          </w:p>
        </w:tc>
      </w:tr>
      <w:tr w:rsidR="00071B6D" w:rsidRPr="00883E21" w:rsidTr="00C15B84">
        <w:tc>
          <w:tcPr>
            <w:tcW w:w="1682"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Wilaya d’appartenance</w:t>
            </w:r>
          </w:p>
        </w:tc>
        <w:tc>
          <w:tcPr>
            <w:tcW w:w="1545"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Alger, Blida, Boumerdes, Tipaza, Tizi Ouazou, Bejaia, Bouira, Médéa, Djelfa, Bordj Bouariridj, Aïn Defla.</w:t>
            </w:r>
          </w:p>
        </w:tc>
        <w:tc>
          <w:tcPr>
            <w:tcW w:w="1843"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Oran, Relizane, Chlef, Mascara, Aïn Témouchent, Sidi Bel Abbès, Tlemcen, Saïda, Mostaganem, Tissemsilt, Tiaret.</w:t>
            </w:r>
          </w:p>
        </w:tc>
        <w:tc>
          <w:tcPr>
            <w:tcW w:w="1701"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Constantine, Annaba, Guelma, Skikda, El Taref, Tebessa, Khenchela, Mila, Souk Ahras, Oum El Bouaghi, Sétif, Jijel, Batna, M’sila.</w:t>
            </w:r>
          </w:p>
        </w:tc>
        <w:tc>
          <w:tcPr>
            <w:tcW w:w="1276"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Béchar, Tindouf, Adrar, Naâma, El Bayadh.</w:t>
            </w:r>
          </w:p>
        </w:tc>
        <w:tc>
          <w:tcPr>
            <w:tcW w:w="1417" w:type="dxa"/>
          </w:tcPr>
          <w:p w:rsidR="00071B6D" w:rsidRPr="00883E21" w:rsidRDefault="00071B6D" w:rsidP="00883E21">
            <w:pPr>
              <w:jc w:val="both"/>
              <w:rPr>
                <w:rFonts w:ascii="Garamond" w:hAnsi="Garamond" w:cstheme="majorBidi"/>
                <w:sz w:val="20"/>
                <w:szCs w:val="20"/>
              </w:rPr>
            </w:pPr>
            <w:r w:rsidRPr="00883E21">
              <w:rPr>
                <w:rFonts w:ascii="Garamond" w:hAnsi="Garamond" w:cstheme="majorBidi"/>
                <w:sz w:val="20"/>
                <w:szCs w:val="20"/>
              </w:rPr>
              <w:t>Ouargla, Ghardaïa, Illizi, Tamanrasset, El Oued, Biskra, Laghouat.</w:t>
            </w:r>
          </w:p>
        </w:tc>
      </w:tr>
    </w:tbl>
    <w:p w:rsidR="00071B6D" w:rsidRPr="00126C7A" w:rsidRDefault="00071B6D" w:rsidP="00126C7A">
      <w:pPr>
        <w:spacing w:after="0" w:line="240" w:lineRule="auto"/>
        <w:jc w:val="both"/>
        <w:rPr>
          <w:rFonts w:asciiTheme="minorBidi" w:hAnsiTheme="minorBidi"/>
          <w:sz w:val="16"/>
          <w:szCs w:val="16"/>
        </w:rPr>
      </w:pPr>
      <w:r w:rsidRPr="00126C7A">
        <w:rPr>
          <w:rFonts w:asciiTheme="minorBidi" w:hAnsiTheme="minorBidi"/>
          <w:sz w:val="16"/>
          <w:szCs w:val="16"/>
        </w:rPr>
        <w:t xml:space="preserve">Source : </w:t>
      </w:r>
      <w:r w:rsidR="00126C7A" w:rsidRPr="00126C7A">
        <w:rPr>
          <w:rFonts w:asciiTheme="minorBidi" w:hAnsiTheme="minorBidi"/>
          <w:sz w:val="16"/>
          <w:szCs w:val="16"/>
        </w:rPr>
        <w:t>Brahamia B., économie de santé, évolution et tendance des systèmes de santé. Edition Bahaeddine, Constantine 2010</w:t>
      </w:r>
      <w:r w:rsidRPr="00126C7A">
        <w:rPr>
          <w:rFonts w:asciiTheme="minorBidi" w:hAnsiTheme="minorBidi"/>
          <w:sz w:val="16"/>
          <w:szCs w:val="16"/>
        </w:rPr>
        <w:t>. P.363.</w:t>
      </w:r>
    </w:p>
    <w:p w:rsidR="00071B6D" w:rsidRPr="00883E21" w:rsidRDefault="00071B6D" w:rsidP="00883E21">
      <w:pPr>
        <w:spacing w:after="0" w:line="240" w:lineRule="auto"/>
        <w:jc w:val="both"/>
        <w:rPr>
          <w:rFonts w:ascii="Garamond" w:hAnsi="Garamond" w:cstheme="majorBidi"/>
          <w:sz w:val="20"/>
          <w:szCs w:val="20"/>
        </w:rPr>
      </w:pPr>
    </w:p>
    <w:p w:rsidR="0037244B" w:rsidRPr="00883E21" w:rsidRDefault="00C15B84"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Depuis l’an 2000, l</w:t>
      </w:r>
      <w:r w:rsidR="004F1EA0" w:rsidRPr="00883E21">
        <w:rPr>
          <w:rFonts w:ascii="Garamond" w:hAnsi="Garamond" w:cstheme="majorBidi"/>
          <w:sz w:val="20"/>
          <w:szCs w:val="20"/>
        </w:rPr>
        <w:t>e système de santé algérien a subi plusieurs réformes visant à améliorer l’offre publique de soins de santé à travers l’adoption de la réforme sur la nouvelle carte sanitaire.</w:t>
      </w:r>
      <w:r w:rsidR="00F17F69" w:rsidRPr="00883E21">
        <w:rPr>
          <w:rFonts w:ascii="Garamond" w:hAnsi="Garamond" w:cstheme="majorBidi"/>
          <w:sz w:val="20"/>
          <w:szCs w:val="20"/>
        </w:rPr>
        <w:t xml:space="preserve"> </w:t>
      </w:r>
      <w:r w:rsidR="0037244B" w:rsidRPr="00883E21">
        <w:rPr>
          <w:rFonts w:ascii="Garamond" w:hAnsi="Garamond" w:cstheme="majorBidi"/>
          <w:sz w:val="20"/>
          <w:szCs w:val="20"/>
        </w:rPr>
        <w:t xml:space="preserve">La réforme comporte deux volets principaux : </w:t>
      </w:r>
    </w:p>
    <w:p w:rsidR="0037244B" w:rsidRPr="00883E21" w:rsidRDefault="004F1EA0" w:rsidP="00883E21">
      <w:pPr>
        <w:pStyle w:val="Paragraphedeliste"/>
        <w:numPr>
          <w:ilvl w:val="0"/>
          <w:numId w:val="3"/>
        </w:num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Le premier volet </w:t>
      </w:r>
      <w:r w:rsidR="0037244B" w:rsidRPr="00883E21">
        <w:rPr>
          <w:rFonts w:ascii="Garamond" w:hAnsi="Garamond" w:cstheme="majorBidi"/>
          <w:sz w:val="20"/>
          <w:szCs w:val="20"/>
        </w:rPr>
        <w:t xml:space="preserve">est la contractualisation des prescriptions médicales à travers la </w:t>
      </w:r>
      <w:r w:rsidRPr="00883E21">
        <w:rPr>
          <w:rFonts w:ascii="Garamond" w:hAnsi="Garamond" w:cstheme="majorBidi"/>
          <w:sz w:val="20"/>
          <w:szCs w:val="20"/>
        </w:rPr>
        <w:t>notion du médecin traitant. Ce qui oblige les patients à se soigner chez un seul médecin traitant librement choisi.</w:t>
      </w:r>
      <w:r w:rsidR="00F17F69" w:rsidRPr="00883E21">
        <w:rPr>
          <w:rFonts w:ascii="Garamond" w:hAnsi="Garamond" w:cstheme="majorBidi"/>
          <w:sz w:val="20"/>
          <w:szCs w:val="20"/>
        </w:rPr>
        <w:t xml:space="preserve"> </w:t>
      </w:r>
    </w:p>
    <w:p w:rsidR="004F1EA0" w:rsidRPr="00883E21" w:rsidRDefault="004F1EA0" w:rsidP="00883E21">
      <w:pPr>
        <w:pStyle w:val="Paragraphedeliste"/>
        <w:numPr>
          <w:ilvl w:val="0"/>
          <w:numId w:val="3"/>
        </w:numPr>
        <w:spacing w:after="0" w:line="240" w:lineRule="auto"/>
        <w:jc w:val="both"/>
        <w:rPr>
          <w:rFonts w:ascii="Garamond" w:hAnsi="Garamond" w:cstheme="majorBidi"/>
          <w:sz w:val="20"/>
          <w:szCs w:val="20"/>
        </w:rPr>
      </w:pPr>
      <w:r w:rsidRPr="00883E21">
        <w:rPr>
          <w:rFonts w:ascii="Garamond" w:hAnsi="Garamond" w:cstheme="majorBidi"/>
          <w:sz w:val="20"/>
          <w:szCs w:val="20"/>
        </w:rPr>
        <w:t>Le second volet de la réforme et le plus important consiste en la décentralisation du système de soins. De ce fait, l’hôpital public qui été jusque là le centre du système de soins et le responsable de toutes les actions et programmes préventifs et curatifs, sera libéré de toutes ces tâches, et sera consacré désormais à l’offre de soins hautement spécialisés.</w:t>
      </w:r>
    </w:p>
    <w:p w:rsidR="004F1EA0" w:rsidRPr="00883E21" w:rsidRDefault="004F1EA0" w:rsidP="00752AAC">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La réforme </w:t>
      </w:r>
      <w:r w:rsidR="00752AAC">
        <w:rPr>
          <w:rFonts w:ascii="Garamond" w:hAnsi="Garamond" w:cstheme="majorBidi"/>
          <w:sz w:val="20"/>
          <w:szCs w:val="20"/>
        </w:rPr>
        <w:t>est</w:t>
      </w:r>
      <w:r w:rsidRPr="00883E21">
        <w:rPr>
          <w:rFonts w:ascii="Garamond" w:hAnsi="Garamond" w:cstheme="majorBidi"/>
          <w:sz w:val="20"/>
          <w:szCs w:val="20"/>
        </w:rPr>
        <w:t xml:space="preserve"> stipulé</w:t>
      </w:r>
      <w:r w:rsidR="00752AAC">
        <w:rPr>
          <w:rFonts w:ascii="Garamond" w:hAnsi="Garamond" w:cstheme="majorBidi"/>
          <w:sz w:val="20"/>
          <w:szCs w:val="20"/>
        </w:rPr>
        <w:t>e</w:t>
      </w:r>
      <w:r w:rsidRPr="00883E21">
        <w:rPr>
          <w:rFonts w:ascii="Garamond" w:hAnsi="Garamond" w:cstheme="majorBidi"/>
          <w:sz w:val="20"/>
          <w:szCs w:val="20"/>
        </w:rPr>
        <w:t xml:space="preserve"> dans le décret exécutif n°07-140 du 19 mai 2007 portant création, organisation et fonctionnement des établissements publics hospitaliers (EPH) et des établissements publics de santé de proximité (EPSP) ayant porté la création de 192 EPH, 271 EPSP, 1495 polycliniques et 5117 salles de soins</w:t>
      </w:r>
      <w:r w:rsidRPr="00883E21">
        <w:rPr>
          <w:rStyle w:val="Appelnotedebasdep"/>
          <w:rFonts w:ascii="Garamond" w:hAnsi="Garamond" w:cstheme="majorBidi"/>
          <w:sz w:val="20"/>
          <w:szCs w:val="20"/>
        </w:rPr>
        <w:footnoteReference w:id="14"/>
      </w:r>
      <w:r w:rsidRPr="00883E21">
        <w:rPr>
          <w:rFonts w:ascii="Garamond" w:hAnsi="Garamond" w:cstheme="majorBidi"/>
          <w:sz w:val="20"/>
          <w:szCs w:val="20"/>
        </w:rPr>
        <w:t>.</w:t>
      </w:r>
    </w:p>
    <w:p w:rsidR="004F1EA0" w:rsidRPr="00883E21" w:rsidRDefault="004F1EA0"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S’agissant des établissements publics de santé de proximité, ils sont dotés de l’autonomie financière et administrative quant à la prise de décision sur la distribution des soins de santé de base et sur les actions préventives. L’EPSP est composé d’un ensemble de polycliniques et de salles de soins couvrant un bassin de population bien déterminé. </w:t>
      </w:r>
    </w:p>
    <w:p w:rsidR="004F1EA0" w:rsidRPr="00883E21" w:rsidRDefault="004F1EA0"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La polyclinique qui est désormais le centre de l’EPSP  sera gérée par un conseil d’administration propre à une direction distincte de celle de l’hôpital. Et elle sera dotée de laboratoires d’analyse médicale et de service de radiologie afin de mieux servir les habitants</w:t>
      </w:r>
      <w:r w:rsidRPr="00883E21">
        <w:rPr>
          <w:rStyle w:val="Appelnotedebasdep"/>
          <w:rFonts w:ascii="Garamond" w:hAnsi="Garamond" w:cstheme="majorBidi"/>
          <w:sz w:val="20"/>
          <w:szCs w:val="20"/>
        </w:rPr>
        <w:footnoteReference w:id="15"/>
      </w:r>
      <w:r w:rsidRPr="00883E21">
        <w:rPr>
          <w:rFonts w:ascii="Garamond" w:hAnsi="Garamond" w:cstheme="majorBidi"/>
          <w:sz w:val="20"/>
          <w:szCs w:val="20"/>
        </w:rPr>
        <w:t>.</w:t>
      </w:r>
    </w:p>
    <w:p w:rsidR="0037244B" w:rsidRPr="00883E21" w:rsidRDefault="0037244B"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Ainsi, en 2013 </w:t>
      </w:r>
      <w:r w:rsidR="00B0759A" w:rsidRPr="00883E21">
        <w:rPr>
          <w:rFonts w:ascii="Garamond" w:hAnsi="Garamond" w:cstheme="majorBidi"/>
          <w:sz w:val="20"/>
          <w:szCs w:val="20"/>
        </w:rPr>
        <w:t>le secteur public de soins de santé</w:t>
      </w:r>
      <w:r w:rsidRPr="00883E21">
        <w:rPr>
          <w:rFonts w:ascii="Garamond" w:hAnsi="Garamond" w:cstheme="majorBidi"/>
          <w:sz w:val="20"/>
          <w:szCs w:val="20"/>
        </w:rPr>
        <w:t xml:space="preserve"> </w:t>
      </w:r>
      <w:r w:rsidR="00C15B84" w:rsidRPr="00883E21">
        <w:rPr>
          <w:rFonts w:ascii="Garamond" w:hAnsi="Garamond" w:cstheme="majorBidi"/>
          <w:sz w:val="20"/>
          <w:szCs w:val="20"/>
        </w:rPr>
        <w:t>comptait</w:t>
      </w:r>
      <w:r w:rsidRPr="00883E21">
        <w:rPr>
          <w:rFonts w:ascii="Garamond" w:hAnsi="Garamond" w:cstheme="majorBidi"/>
          <w:sz w:val="20"/>
          <w:szCs w:val="20"/>
        </w:rPr>
        <w:t> :</w:t>
      </w:r>
    </w:p>
    <w:p w:rsidR="0037244B" w:rsidRPr="00883E21" w:rsidRDefault="0037244B"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14 Centre Hospitalo-Universitaire </w:t>
      </w:r>
      <w:r w:rsidR="00B0759A" w:rsidRPr="00883E21">
        <w:rPr>
          <w:rFonts w:ascii="Garamond" w:hAnsi="Garamond" w:cstheme="majorBidi"/>
          <w:sz w:val="20"/>
          <w:szCs w:val="20"/>
        </w:rPr>
        <w:t xml:space="preserve">(CHU) </w:t>
      </w:r>
      <w:r w:rsidRPr="00883E21">
        <w:rPr>
          <w:rFonts w:ascii="Garamond" w:hAnsi="Garamond" w:cstheme="majorBidi"/>
          <w:sz w:val="20"/>
          <w:szCs w:val="20"/>
        </w:rPr>
        <w:t>avec 13 254 lits d’hospitalisation,</w:t>
      </w:r>
    </w:p>
    <w:p w:rsidR="0037244B" w:rsidRPr="00883E21" w:rsidRDefault="0037244B"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5 </w:t>
      </w:r>
      <w:r w:rsidR="00B0759A" w:rsidRPr="00883E21">
        <w:rPr>
          <w:rFonts w:ascii="Garamond" w:hAnsi="Garamond" w:cstheme="majorBidi"/>
          <w:sz w:val="20"/>
          <w:szCs w:val="20"/>
        </w:rPr>
        <w:t>Etablissements H</w:t>
      </w:r>
      <w:r w:rsidRPr="00883E21">
        <w:rPr>
          <w:rFonts w:ascii="Garamond" w:hAnsi="Garamond" w:cstheme="majorBidi"/>
          <w:sz w:val="20"/>
          <w:szCs w:val="20"/>
        </w:rPr>
        <w:t xml:space="preserve">ospitaliers </w:t>
      </w:r>
      <w:r w:rsidR="00B0759A" w:rsidRPr="00883E21">
        <w:rPr>
          <w:rFonts w:ascii="Garamond" w:hAnsi="Garamond" w:cstheme="majorBidi"/>
          <w:sz w:val="20"/>
          <w:szCs w:val="20"/>
        </w:rPr>
        <w:t xml:space="preserve">(EH) </w:t>
      </w:r>
      <w:r w:rsidRPr="00883E21">
        <w:rPr>
          <w:rFonts w:ascii="Garamond" w:hAnsi="Garamond" w:cstheme="majorBidi"/>
          <w:sz w:val="20"/>
          <w:szCs w:val="20"/>
        </w:rPr>
        <w:t>avec 850 lits d’hospitalisation,</w:t>
      </w:r>
    </w:p>
    <w:p w:rsidR="0037244B" w:rsidRPr="00883E21" w:rsidRDefault="0037244B"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69</w:t>
      </w:r>
      <w:r w:rsidR="00B0759A" w:rsidRPr="00883E21">
        <w:rPr>
          <w:rFonts w:ascii="Garamond" w:hAnsi="Garamond" w:cstheme="majorBidi"/>
          <w:sz w:val="20"/>
          <w:szCs w:val="20"/>
        </w:rPr>
        <w:t xml:space="preserve"> Etablissements Hospitaliers Spécialisés (EHS) avec 10952 lits d’hospitalisation,</w:t>
      </w:r>
    </w:p>
    <w:p w:rsidR="00B0759A" w:rsidRPr="00883E21" w:rsidRDefault="00B0759A"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195 Etablissements Publics Hospitaliers (EPH) avec 38 156,</w:t>
      </w:r>
    </w:p>
    <w:p w:rsidR="00B0759A" w:rsidRPr="00883E21" w:rsidRDefault="00B0759A"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271 Etablissements Publics de Santé de Proximité (EPSP),</w:t>
      </w:r>
    </w:p>
    <w:p w:rsidR="00B0759A" w:rsidRPr="00883E21" w:rsidRDefault="00B0759A"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1627 Poly Cliniques avec 3387 de lits d’urgence,</w:t>
      </w:r>
    </w:p>
    <w:p w:rsidR="00B0759A" w:rsidRPr="00883E21" w:rsidRDefault="00B0759A"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417 maternités avec 3022 lits,</w:t>
      </w:r>
    </w:p>
    <w:p w:rsidR="00B0759A" w:rsidRPr="00883E21" w:rsidRDefault="00B0759A"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Et 5484 salles de soins.</w:t>
      </w:r>
    </w:p>
    <w:p w:rsidR="00B0759A" w:rsidRPr="00883E21" w:rsidRDefault="00B0759A"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Le secteur privé pour sa part participe dans l’offre de soins par :</w:t>
      </w:r>
    </w:p>
    <w:p w:rsidR="00CC2783" w:rsidRPr="00883E21" w:rsidRDefault="00CC2783"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398 cli</w:t>
      </w:r>
      <w:r w:rsidR="00160A84" w:rsidRPr="00883E21">
        <w:rPr>
          <w:rFonts w:ascii="Garamond" w:hAnsi="Garamond" w:cstheme="majorBidi"/>
          <w:sz w:val="20"/>
          <w:szCs w:val="20"/>
        </w:rPr>
        <w:t>niques privées avec 5230 lits,</w:t>
      </w:r>
    </w:p>
    <w:p w:rsidR="00B0759A" w:rsidRPr="00883E21" w:rsidRDefault="00CC2783" w:rsidP="00752AAC">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19 114 cabinets </w:t>
      </w:r>
      <w:r w:rsidR="00C15B84" w:rsidRPr="00883E21">
        <w:rPr>
          <w:rFonts w:ascii="Garamond" w:hAnsi="Garamond" w:cstheme="majorBidi"/>
          <w:sz w:val="20"/>
          <w:szCs w:val="20"/>
        </w:rPr>
        <w:t>médicaux</w:t>
      </w:r>
      <w:r w:rsidRPr="00883E21">
        <w:rPr>
          <w:rFonts w:ascii="Garamond" w:hAnsi="Garamond" w:cstheme="majorBidi"/>
          <w:sz w:val="20"/>
          <w:szCs w:val="20"/>
        </w:rPr>
        <w:t>.</w:t>
      </w:r>
    </w:p>
    <w:p w:rsidR="005160C0" w:rsidRPr="00883E21" w:rsidRDefault="005160C0" w:rsidP="00883E21">
      <w:pPr>
        <w:spacing w:after="0" w:line="240" w:lineRule="auto"/>
        <w:jc w:val="both"/>
        <w:rPr>
          <w:rFonts w:ascii="Garamond" w:hAnsi="Garamond" w:cstheme="majorBidi"/>
          <w:sz w:val="20"/>
          <w:szCs w:val="20"/>
        </w:rPr>
      </w:pPr>
    </w:p>
    <w:p w:rsidR="005160C0" w:rsidRPr="00883E21" w:rsidRDefault="0083497B"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Si l’on se refaire aux données globales, le  pays est doté </w:t>
      </w:r>
      <w:r w:rsidR="00C7189A" w:rsidRPr="00883E21">
        <w:rPr>
          <w:rFonts w:ascii="Garamond" w:hAnsi="Garamond" w:cstheme="majorBidi"/>
          <w:sz w:val="20"/>
          <w:szCs w:val="20"/>
        </w:rPr>
        <w:t>en</w:t>
      </w:r>
      <w:r w:rsidRPr="00883E21">
        <w:rPr>
          <w:rFonts w:ascii="Garamond" w:hAnsi="Garamond" w:cstheme="majorBidi"/>
          <w:sz w:val="20"/>
          <w:szCs w:val="20"/>
        </w:rPr>
        <w:t xml:space="preserve"> infrastructures médicales suffisantes p</w:t>
      </w:r>
      <w:r w:rsidR="004F1EA0" w:rsidRPr="00883E21">
        <w:rPr>
          <w:rFonts w:ascii="Garamond" w:hAnsi="Garamond" w:cstheme="majorBidi"/>
          <w:sz w:val="20"/>
          <w:szCs w:val="20"/>
        </w:rPr>
        <w:t xml:space="preserve">our </w:t>
      </w:r>
      <w:r w:rsidRPr="00883E21">
        <w:rPr>
          <w:rFonts w:ascii="Garamond" w:hAnsi="Garamond" w:cstheme="majorBidi"/>
          <w:sz w:val="20"/>
          <w:szCs w:val="20"/>
        </w:rPr>
        <w:t>couvrir l’ensemble des besoins de la population. D’ailleurs, l’examen des statistiques des investissements publics montrent qu’elles sont restées presque inchangées</w:t>
      </w:r>
      <w:r w:rsidR="009064E5" w:rsidRPr="00883E21">
        <w:rPr>
          <w:rFonts w:ascii="Garamond" w:hAnsi="Garamond" w:cstheme="majorBidi"/>
          <w:sz w:val="20"/>
          <w:szCs w:val="20"/>
        </w:rPr>
        <w:t xml:space="preserve"> sauf pour les établissements hospitaliers (EH) et les établissements hospitaliers spécialisés (EHS) depuis 1996</w:t>
      </w:r>
      <w:r w:rsidRPr="00883E21">
        <w:rPr>
          <w:rFonts w:ascii="Garamond" w:hAnsi="Garamond" w:cstheme="majorBidi"/>
          <w:sz w:val="20"/>
          <w:szCs w:val="20"/>
        </w:rPr>
        <w:t>, comme le montre les données du tableau suivant :</w:t>
      </w:r>
    </w:p>
    <w:p w:rsidR="00A35320" w:rsidRPr="00883E21" w:rsidRDefault="00A35320"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lastRenderedPageBreak/>
        <w:t>Tableau n°02 : l’évolution des infrastructures de santé publiques (1996-2013)</w:t>
      </w:r>
    </w:p>
    <w:tbl>
      <w:tblPr>
        <w:tblW w:w="695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2"/>
        <w:gridCol w:w="1200"/>
        <w:gridCol w:w="1200"/>
      </w:tblGrid>
      <w:tr w:rsidR="0083497B" w:rsidRPr="0011416E" w:rsidTr="00A35320">
        <w:trPr>
          <w:trHeight w:val="300"/>
        </w:trPr>
        <w:tc>
          <w:tcPr>
            <w:tcW w:w="4552" w:type="dxa"/>
            <w:shd w:val="clear" w:color="auto" w:fill="auto"/>
            <w:noWrap/>
            <w:vAlign w:val="center"/>
            <w:hideMark/>
          </w:tcPr>
          <w:p w:rsidR="0083497B" w:rsidRPr="0011416E" w:rsidRDefault="0083497B" w:rsidP="00883E21">
            <w:pPr>
              <w:spacing w:after="0" w:line="240" w:lineRule="auto"/>
              <w:jc w:val="both"/>
              <w:rPr>
                <w:rFonts w:ascii="Garamond" w:eastAsia="Times New Roman" w:hAnsi="Garamond" w:cs="Times New Roman"/>
                <w:b/>
                <w:bCs/>
                <w:color w:val="000000"/>
                <w:sz w:val="20"/>
                <w:szCs w:val="20"/>
                <w:lang w:eastAsia="fr-FR"/>
              </w:rPr>
            </w:pPr>
            <w:r w:rsidRPr="0011416E">
              <w:rPr>
                <w:rFonts w:ascii="Garamond" w:eastAsia="Times New Roman" w:hAnsi="Garamond" w:cs="Times New Roman"/>
                <w:b/>
                <w:bCs/>
                <w:color w:val="000000"/>
                <w:sz w:val="20"/>
                <w:szCs w:val="20"/>
                <w:lang w:eastAsia="fr-FR"/>
              </w:rPr>
              <w:t>infrastructures publiques</w:t>
            </w:r>
          </w:p>
        </w:tc>
        <w:tc>
          <w:tcPr>
            <w:tcW w:w="1200" w:type="dxa"/>
            <w:shd w:val="clear" w:color="auto" w:fill="auto"/>
            <w:noWrap/>
            <w:vAlign w:val="center"/>
            <w:hideMark/>
          </w:tcPr>
          <w:p w:rsidR="0083497B" w:rsidRPr="0011416E" w:rsidRDefault="0083497B" w:rsidP="0011416E">
            <w:pPr>
              <w:spacing w:after="0" w:line="240" w:lineRule="auto"/>
              <w:jc w:val="right"/>
              <w:rPr>
                <w:rFonts w:ascii="Garamond" w:eastAsia="Times New Roman" w:hAnsi="Garamond" w:cs="Times New Roman"/>
                <w:b/>
                <w:bCs/>
                <w:color w:val="000000"/>
                <w:sz w:val="20"/>
                <w:szCs w:val="20"/>
                <w:lang w:eastAsia="fr-FR"/>
              </w:rPr>
            </w:pPr>
            <w:r w:rsidRPr="0011416E">
              <w:rPr>
                <w:rFonts w:ascii="Garamond" w:eastAsia="Times New Roman" w:hAnsi="Garamond" w:cs="Times New Roman"/>
                <w:b/>
                <w:bCs/>
                <w:color w:val="000000"/>
                <w:sz w:val="20"/>
                <w:szCs w:val="20"/>
                <w:lang w:eastAsia="fr-FR"/>
              </w:rPr>
              <w:t>1996</w:t>
            </w:r>
          </w:p>
        </w:tc>
        <w:tc>
          <w:tcPr>
            <w:tcW w:w="1200" w:type="dxa"/>
            <w:shd w:val="clear" w:color="auto" w:fill="auto"/>
            <w:noWrap/>
            <w:vAlign w:val="center"/>
            <w:hideMark/>
          </w:tcPr>
          <w:p w:rsidR="0083497B" w:rsidRPr="0011416E" w:rsidRDefault="0083497B" w:rsidP="0011416E">
            <w:pPr>
              <w:spacing w:after="0" w:line="240" w:lineRule="auto"/>
              <w:jc w:val="right"/>
              <w:rPr>
                <w:rFonts w:ascii="Garamond" w:eastAsia="Times New Roman" w:hAnsi="Garamond" w:cs="Times New Roman"/>
                <w:b/>
                <w:bCs/>
                <w:color w:val="000000"/>
                <w:sz w:val="20"/>
                <w:szCs w:val="20"/>
                <w:lang w:eastAsia="fr-FR"/>
              </w:rPr>
            </w:pPr>
            <w:r w:rsidRPr="0011416E">
              <w:rPr>
                <w:rFonts w:ascii="Garamond" w:eastAsia="Times New Roman" w:hAnsi="Garamond" w:cs="Times New Roman"/>
                <w:b/>
                <w:bCs/>
                <w:color w:val="000000"/>
                <w:sz w:val="20"/>
                <w:szCs w:val="20"/>
                <w:lang w:eastAsia="fr-FR"/>
              </w:rPr>
              <w:t>2013</w:t>
            </w:r>
          </w:p>
        </w:tc>
      </w:tr>
      <w:tr w:rsidR="0083497B" w:rsidRPr="00883E21" w:rsidTr="00A35320">
        <w:trPr>
          <w:trHeight w:val="300"/>
        </w:trPr>
        <w:tc>
          <w:tcPr>
            <w:tcW w:w="4552" w:type="dxa"/>
            <w:shd w:val="clear" w:color="auto" w:fill="auto"/>
            <w:noWrap/>
            <w:vAlign w:val="center"/>
            <w:hideMark/>
          </w:tcPr>
          <w:p w:rsidR="0083497B" w:rsidRPr="0011416E" w:rsidRDefault="0083497B" w:rsidP="00883E21">
            <w:pPr>
              <w:spacing w:after="0" w:line="240" w:lineRule="auto"/>
              <w:jc w:val="both"/>
              <w:rPr>
                <w:rFonts w:ascii="Garamond" w:eastAsia="Times New Roman" w:hAnsi="Garamond" w:cs="Times New Roman"/>
                <w:b/>
                <w:bCs/>
                <w:color w:val="9C6500"/>
                <w:sz w:val="20"/>
                <w:szCs w:val="20"/>
                <w:lang w:eastAsia="fr-FR"/>
              </w:rPr>
            </w:pPr>
            <w:r w:rsidRPr="0011416E">
              <w:rPr>
                <w:rFonts w:ascii="Garamond" w:eastAsia="Times New Roman" w:hAnsi="Garamond" w:cs="Times New Roman"/>
                <w:b/>
                <w:bCs/>
                <w:color w:val="9C6500"/>
                <w:sz w:val="20"/>
                <w:szCs w:val="20"/>
                <w:lang w:eastAsia="fr-FR"/>
              </w:rPr>
              <w:t>CHU</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9C6500"/>
                <w:sz w:val="20"/>
                <w:szCs w:val="20"/>
                <w:lang w:eastAsia="fr-FR"/>
              </w:rPr>
            </w:pPr>
            <w:r w:rsidRPr="00883E21">
              <w:rPr>
                <w:rFonts w:ascii="Garamond" w:eastAsia="Times New Roman" w:hAnsi="Garamond" w:cs="Times New Roman"/>
                <w:color w:val="9C6500"/>
                <w:sz w:val="20"/>
                <w:szCs w:val="20"/>
                <w:lang w:eastAsia="fr-FR"/>
              </w:rPr>
              <w:t>13</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9C6500"/>
                <w:sz w:val="20"/>
                <w:szCs w:val="20"/>
                <w:lang w:eastAsia="fr-FR"/>
              </w:rPr>
            </w:pPr>
            <w:r w:rsidRPr="00883E21">
              <w:rPr>
                <w:rFonts w:ascii="Garamond" w:eastAsia="Times New Roman" w:hAnsi="Garamond" w:cs="Times New Roman"/>
                <w:color w:val="9C6500"/>
                <w:sz w:val="20"/>
                <w:szCs w:val="20"/>
                <w:lang w:eastAsia="fr-FR"/>
              </w:rPr>
              <w:t>14</w:t>
            </w:r>
          </w:p>
        </w:tc>
      </w:tr>
      <w:tr w:rsidR="0083497B" w:rsidRPr="00883E21" w:rsidTr="00A35320">
        <w:trPr>
          <w:trHeight w:val="300"/>
        </w:trPr>
        <w:tc>
          <w:tcPr>
            <w:tcW w:w="4552" w:type="dxa"/>
            <w:shd w:val="clear" w:color="auto" w:fill="auto"/>
            <w:noWrap/>
            <w:vAlign w:val="center"/>
            <w:hideMark/>
          </w:tcPr>
          <w:p w:rsidR="0083497B" w:rsidRPr="0011416E" w:rsidRDefault="0083497B" w:rsidP="00883E21">
            <w:pPr>
              <w:spacing w:after="0" w:line="240" w:lineRule="auto"/>
              <w:jc w:val="both"/>
              <w:rPr>
                <w:rFonts w:ascii="Garamond" w:eastAsia="Times New Roman" w:hAnsi="Garamond" w:cs="Times New Roman"/>
                <w:b/>
                <w:bCs/>
                <w:color w:val="9C6500"/>
                <w:sz w:val="20"/>
                <w:szCs w:val="20"/>
                <w:lang w:eastAsia="fr-FR"/>
              </w:rPr>
            </w:pPr>
            <w:r w:rsidRPr="0011416E">
              <w:rPr>
                <w:rFonts w:ascii="Garamond" w:eastAsia="Times New Roman" w:hAnsi="Garamond" w:cs="Times New Roman"/>
                <w:b/>
                <w:bCs/>
                <w:color w:val="9C6500"/>
                <w:sz w:val="20"/>
                <w:szCs w:val="20"/>
                <w:lang w:eastAsia="fr-FR"/>
              </w:rPr>
              <w:t>NBRE lits</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9C6500"/>
                <w:sz w:val="20"/>
                <w:szCs w:val="20"/>
                <w:lang w:eastAsia="fr-FR"/>
              </w:rPr>
            </w:pPr>
            <w:r w:rsidRPr="00883E21">
              <w:rPr>
                <w:rFonts w:ascii="Garamond" w:eastAsia="Times New Roman" w:hAnsi="Garamond" w:cs="Times New Roman"/>
                <w:color w:val="9C6500"/>
                <w:sz w:val="20"/>
                <w:szCs w:val="20"/>
                <w:lang w:eastAsia="fr-FR"/>
              </w:rPr>
              <w:t>15845</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9C6500"/>
                <w:sz w:val="20"/>
                <w:szCs w:val="20"/>
                <w:lang w:eastAsia="fr-FR"/>
              </w:rPr>
            </w:pPr>
            <w:r w:rsidRPr="00883E21">
              <w:rPr>
                <w:rFonts w:ascii="Garamond" w:eastAsia="Times New Roman" w:hAnsi="Garamond" w:cs="Times New Roman"/>
                <w:color w:val="9C6500"/>
                <w:sz w:val="20"/>
                <w:szCs w:val="20"/>
                <w:lang w:eastAsia="fr-FR"/>
              </w:rPr>
              <w:t>13254</w:t>
            </w:r>
          </w:p>
        </w:tc>
      </w:tr>
      <w:tr w:rsidR="0083497B" w:rsidRPr="00883E21" w:rsidTr="00A35320">
        <w:trPr>
          <w:trHeight w:val="300"/>
        </w:trPr>
        <w:tc>
          <w:tcPr>
            <w:tcW w:w="4552" w:type="dxa"/>
            <w:shd w:val="clear" w:color="auto" w:fill="auto"/>
            <w:noWrap/>
            <w:vAlign w:val="center"/>
            <w:hideMark/>
          </w:tcPr>
          <w:p w:rsidR="0083497B" w:rsidRPr="0011416E" w:rsidRDefault="0083497B" w:rsidP="00883E21">
            <w:pPr>
              <w:spacing w:after="0" w:line="240" w:lineRule="auto"/>
              <w:jc w:val="both"/>
              <w:rPr>
                <w:rFonts w:ascii="Garamond" w:eastAsia="Times New Roman" w:hAnsi="Garamond" w:cs="Times New Roman"/>
                <w:b/>
                <w:bCs/>
                <w:color w:val="006100"/>
                <w:sz w:val="20"/>
                <w:szCs w:val="20"/>
                <w:lang w:eastAsia="fr-FR"/>
              </w:rPr>
            </w:pPr>
            <w:r w:rsidRPr="0011416E">
              <w:rPr>
                <w:rFonts w:ascii="Garamond" w:eastAsia="Times New Roman" w:hAnsi="Garamond" w:cs="Times New Roman"/>
                <w:b/>
                <w:bCs/>
                <w:color w:val="006100"/>
                <w:sz w:val="20"/>
                <w:szCs w:val="20"/>
                <w:lang w:eastAsia="fr-FR"/>
              </w:rPr>
              <w:t>EH</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6100"/>
                <w:sz w:val="20"/>
                <w:szCs w:val="20"/>
                <w:lang w:eastAsia="fr-FR"/>
              </w:rPr>
            </w:pPr>
            <w:r w:rsidRPr="00883E21">
              <w:rPr>
                <w:rFonts w:ascii="Garamond" w:eastAsia="Times New Roman" w:hAnsi="Garamond" w:cs="Times New Roman"/>
                <w:color w:val="006100"/>
                <w:sz w:val="20"/>
                <w:szCs w:val="20"/>
                <w:lang w:eastAsia="fr-FR"/>
              </w:rPr>
              <w:t>0</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6100"/>
                <w:sz w:val="20"/>
                <w:szCs w:val="20"/>
                <w:lang w:eastAsia="fr-FR"/>
              </w:rPr>
            </w:pPr>
            <w:r w:rsidRPr="00883E21">
              <w:rPr>
                <w:rFonts w:ascii="Garamond" w:eastAsia="Times New Roman" w:hAnsi="Garamond" w:cs="Times New Roman"/>
                <w:color w:val="006100"/>
                <w:sz w:val="20"/>
                <w:szCs w:val="20"/>
                <w:lang w:eastAsia="fr-FR"/>
              </w:rPr>
              <w:t>5</w:t>
            </w:r>
          </w:p>
        </w:tc>
      </w:tr>
      <w:tr w:rsidR="0083497B" w:rsidRPr="00883E21" w:rsidTr="00A35320">
        <w:trPr>
          <w:trHeight w:val="300"/>
        </w:trPr>
        <w:tc>
          <w:tcPr>
            <w:tcW w:w="4552" w:type="dxa"/>
            <w:shd w:val="clear" w:color="auto" w:fill="auto"/>
            <w:noWrap/>
            <w:vAlign w:val="center"/>
            <w:hideMark/>
          </w:tcPr>
          <w:p w:rsidR="0083497B" w:rsidRPr="0011416E" w:rsidRDefault="0083497B" w:rsidP="00883E21">
            <w:pPr>
              <w:spacing w:after="0" w:line="240" w:lineRule="auto"/>
              <w:jc w:val="both"/>
              <w:rPr>
                <w:rFonts w:ascii="Garamond" w:eastAsia="Times New Roman" w:hAnsi="Garamond" w:cs="Times New Roman"/>
                <w:b/>
                <w:bCs/>
                <w:color w:val="006100"/>
                <w:sz w:val="20"/>
                <w:szCs w:val="20"/>
                <w:lang w:eastAsia="fr-FR"/>
              </w:rPr>
            </w:pPr>
            <w:r w:rsidRPr="0011416E">
              <w:rPr>
                <w:rFonts w:ascii="Garamond" w:eastAsia="Times New Roman" w:hAnsi="Garamond" w:cs="Times New Roman"/>
                <w:b/>
                <w:bCs/>
                <w:color w:val="006100"/>
                <w:sz w:val="20"/>
                <w:szCs w:val="20"/>
                <w:lang w:eastAsia="fr-FR"/>
              </w:rPr>
              <w:t>NBRE lits</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6100"/>
                <w:sz w:val="20"/>
                <w:szCs w:val="20"/>
                <w:lang w:eastAsia="fr-FR"/>
              </w:rPr>
            </w:pPr>
            <w:r w:rsidRPr="00883E21">
              <w:rPr>
                <w:rFonts w:ascii="Garamond" w:eastAsia="Times New Roman" w:hAnsi="Garamond" w:cs="Times New Roman"/>
                <w:color w:val="006100"/>
                <w:sz w:val="20"/>
                <w:szCs w:val="20"/>
                <w:lang w:eastAsia="fr-FR"/>
              </w:rPr>
              <w:t>0</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6100"/>
                <w:sz w:val="20"/>
                <w:szCs w:val="20"/>
                <w:lang w:eastAsia="fr-FR"/>
              </w:rPr>
            </w:pPr>
            <w:r w:rsidRPr="00883E21">
              <w:rPr>
                <w:rFonts w:ascii="Garamond" w:eastAsia="Times New Roman" w:hAnsi="Garamond" w:cs="Times New Roman"/>
                <w:color w:val="006100"/>
                <w:sz w:val="20"/>
                <w:szCs w:val="20"/>
                <w:lang w:eastAsia="fr-FR"/>
              </w:rPr>
              <w:t>850</w:t>
            </w:r>
          </w:p>
        </w:tc>
      </w:tr>
      <w:tr w:rsidR="0083497B" w:rsidRPr="00883E21" w:rsidTr="00A35320">
        <w:trPr>
          <w:trHeight w:val="300"/>
        </w:trPr>
        <w:tc>
          <w:tcPr>
            <w:tcW w:w="4552" w:type="dxa"/>
            <w:shd w:val="clear" w:color="auto" w:fill="auto"/>
            <w:noWrap/>
            <w:vAlign w:val="center"/>
            <w:hideMark/>
          </w:tcPr>
          <w:p w:rsidR="0083497B" w:rsidRPr="0011416E" w:rsidRDefault="0083497B" w:rsidP="00883E21">
            <w:pPr>
              <w:spacing w:after="0" w:line="240" w:lineRule="auto"/>
              <w:jc w:val="both"/>
              <w:rPr>
                <w:rFonts w:ascii="Garamond" w:eastAsia="Times New Roman" w:hAnsi="Garamond" w:cs="Times New Roman"/>
                <w:b/>
                <w:bCs/>
                <w:color w:val="9C0006"/>
                <w:sz w:val="20"/>
                <w:szCs w:val="20"/>
                <w:lang w:eastAsia="fr-FR"/>
              </w:rPr>
            </w:pPr>
            <w:r w:rsidRPr="0011416E">
              <w:rPr>
                <w:rFonts w:ascii="Garamond" w:eastAsia="Times New Roman" w:hAnsi="Garamond" w:cs="Times New Roman"/>
                <w:b/>
                <w:bCs/>
                <w:color w:val="9C0006"/>
                <w:sz w:val="20"/>
                <w:szCs w:val="20"/>
                <w:lang w:eastAsia="fr-FR"/>
              </w:rPr>
              <w:t>EHS</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9C0006"/>
                <w:sz w:val="20"/>
                <w:szCs w:val="20"/>
                <w:lang w:eastAsia="fr-FR"/>
              </w:rPr>
            </w:pPr>
            <w:r w:rsidRPr="00883E21">
              <w:rPr>
                <w:rFonts w:ascii="Garamond" w:eastAsia="Times New Roman" w:hAnsi="Garamond" w:cs="Times New Roman"/>
                <w:color w:val="9C0006"/>
                <w:sz w:val="20"/>
                <w:szCs w:val="20"/>
                <w:lang w:eastAsia="fr-FR"/>
              </w:rPr>
              <w:t>21</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9C0006"/>
                <w:sz w:val="20"/>
                <w:szCs w:val="20"/>
                <w:lang w:eastAsia="fr-FR"/>
              </w:rPr>
            </w:pPr>
            <w:r w:rsidRPr="00883E21">
              <w:rPr>
                <w:rFonts w:ascii="Garamond" w:eastAsia="Times New Roman" w:hAnsi="Garamond" w:cs="Times New Roman"/>
                <w:color w:val="9C0006"/>
                <w:sz w:val="20"/>
                <w:szCs w:val="20"/>
                <w:lang w:eastAsia="fr-FR"/>
              </w:rPr>
              <w:t>69</w:t>
            </w:r>
          </w:p>
        </w:tc>
      </w:tr>
      <w:tr w:rsidR="0083497B" w:rsidRPr="00883E21" w:rsidTr="00A35320">
        <w:trPr>
          <w:trHeight w:val="300"/>
        </w:trPr>
        <w:tc>
          <w:tcPr>
            <w:tcW w:w="4552" w:type="dxa"/>
            <w:shd w:val="clear" w:color="auto" w:fill="auto"/>
            <w:noWrap/>
            <w:vAlign w:val="center"/>
            <w:hideMark/>
          </w:tcPr>
          <w:p w:rsidR="0083497B" w:rsidRPr="0011416E" w:rsidRDefault="007A6408" w:rsidP="00883E21">
            <w:pPr>
              <w:spacing w:after="0" w:line="240" w:lineRule="auto"/>
              <w:jc w:val="both"/>
              <w:rPr>
                <w:rFonts w:ascii="Garamond" w:eastAsia="Times New Roman" w:hAnsi="Garamond" w:cs="Times New Roman"/>
                <w:b/>
                <w:bCs/>
                <w:color w:val="9C0006"/>
                <w:sz w:val="20"/>
                <w:szCs w:val="20"/>
                <w:lang w:eastAsia="fr-FR"/>
              </w:rPr>
            </w:pPr>
            <w:r w:rsidRPr="0011416E">
              <w:rPr>
                <w:rFonts w:ascii="Garamond" w:eastAsia="Times New Roman" w:hAnsi="Garamond" w:cs="Times New Roman"/>
                <w:b/>
                <w:bCs/>
                <w:color w:val="000000"/>
                <w:sz w:val="20"/>
                <w:szCs w:val="20"/>
                <w:lang w:eastAsia="fr-FR"/>
              </w:rPr>
              <w:t>N</w:t>
            </w:r>
            <w:r>
              <w:rPr>
                <w:rFonts w:ascii="Garamond" w:eastAsia="Times New Roman" w:hAnsi="Garamond" w:cs="Times New Roman"/>
                <w:b/>
                <w:bCs/>
                <w:color w:val="000000"/>
                <w:sz w:val="20"/>
                <w:szCs w:val="20"/>
                <w:lang w:eastAsia="fr-FR"/>
              </w:rPr>
              <w:t xml:space="preserve">ombre </w:t>
            </w:r>
            <w:r w:rsidR="0083497B" w:rsidRPr="0011416E">
              <w:rPr>
                <w:rFonts w:ascii="Garamond" w:eastAsia="Times New Roman" w:hAnsi="Garamond" w:cs="Times New Roman"/>
                <w:b/>
                <w:bCs/>
                <w:color w:val="9C0006"/>
                <w:sz w:val="20"/>
                <w:szCs w:val="20"/>
                <w:lang w:eastAsia="fr-FR"/>
              </w:rPr>
              <w:t>lits</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9C0006"/>
                <w:sz w:val="20"/>
                <w:szCs w:val="20"/>
                <w:lang w:eastAsia="fr-FR"/>
              </w:rPr>
            </w:pPr>
            <w:r w:rsidRPr="00883E21">
              <w:rPr>
                <w:rFonts w:ascii="Garamond" w:eastAsia="Times New Roman" w:hAnsi="Garamond" w:cs="Times New Roman"/>
                <w:color w:val="9C0006"/>
                <w:sz w:val="20"/>
                <w:szCs w:val="20"/>
                <w:lang w:eastAsia="fr-FR"/>
              </w:rPr>
              <w:t>5913</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9C0006"/>
                <w:sz w:val="20"/>
                <w:szCs w:val="20"/>
                <w:lang w:eastAsia="fr-FR"/>
              </w:rPr>
            </w:pPr>
            <w:r w:rsidRPr="00883E21">
              <w:rPr>
                <w:rFonts w:ascii="Garamond" w:eastAsia="Times New Roman" w:hAnsi="Garamond" w:cs="Times New Roman"/>
                <w:color w:val="9C0006"/>
                <w:sz w:val="20"/>
                <w:szCs w:val="20"/>
                <w:lang w:eastAsia="fr-FR"/>
              </w:rPr>
              <w:t>10952</w:t>
            </w:r>
          </w:p>
        </w:tc>
      </w:tr>
      <w:tr w:rsidR="0083497B" w:rsidRPr="00883E21" w:rsidTr="00A35320">
        <w:trPr>
          <w:trHeight w:val="300"/>
        </w:trPr>
        <w:tc>
          <w:tcPr>
            <w:tcW w:w="4552" w:type="dxa"/>
            <w:shd w:val="clear" w:color="auto" w:fill="auto"/>
            <w:noWrap/>
            <w:vAlign w:val="center"/>
            <w:hideMark/>
          </w:tcPr>
          <w:p w:rsidR="0083497B" w:rsidRPr="0011416E" w:rsidRDefault="0083497B" w:rsidP="00883E21">
            <w:pPr>
              <w:spacing w:after="0" w:line="240" w:lineRule="auto"/>
              <w:jc w:val="both"/>
              <w:rPr>
                <w:rFonts w:ascii="Garamond" w:eastAsia="Times New Roman" w:hAnsi="Garamond" w:cs="Times New Roman"/>
                <w:b/>
                <w:bCs/>
                <w:color w:val="000000"/>
                <w:sz w:val="20"/>
                <w:szCs w:val="20"/>
                <w:lang w:eastAsia="fr-FR"/>
              </w:rPr>
            </w:pPr>
            <w:r w:rsidRPr="0011416E">
              <w:rPr>
                <w:rFonts w:ascii="Garamond" w:eastAsia="Times New Roman" w:hAnsi="Garamond" w:cs="Times New Roman"/>
                <w:b/>
                <w:bCs/>
                <w:color w:val="000000"/>
                <w:sz w:val="20"/>
                <w:szCs w:val="20"/>
                <w:lang w:eastAsia="fr-FR"/>
              </w:rPr>
              <w:t>EPH</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176</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195</w:t>
            </w:r>
          </w:p>
        </w:tc>
      </w:tr>
      <w:tr w:rsidR="0083497B" w:rsidRPr="00883E21" w:rsidTr="00A35320">
        <w:trPr>
          <w:trHeight w:val="300"/>
        </w:trPr>
        <w:tc>
          <w:tcPr>
            <w:tcW w:w="4552" w:type="dxa"/>
            <w:shd w:val="clear" w:color="auto" w:fill="auto"/>
            <w:noWrap/>
            <w:vAlign w:val="center"/>
            <w:hideMark/>
          </w:tcPr>
          <w:p w:rsidR="0083497B" w:rsidRPr="0011416E" w:rsidRDefault="0083497B" w:rsidP="007A6408">
            <w:pPr>
              <w:spacing w:after="0" w:line="240" w:lineRule="auto"/>
              <w:jc w:val="both"/>
              <w:rPr>
                <w:rFonts w:ascii="Garamond" w:eastAsia="Times New Roman" w:hAnsi="Garamond" w:cs="Times New Roman"/>
                <w:b/>
                <w:bCs/>
                <w:color w:val="000000"/>
                <w:sz w:val="20"/>
                <w:szCs w:val="20"/>
                <w:lang w:eastAsia="fr-FR"/>
              </w:rPr>
            </w:pPr>
            <w:r w:rsidRPr="0011416E">
              <w:rPr>
                <w:rFonts w:ascii="Garamond" w:eastAsia="Times New Roman" w:hAnsi="Garamond" w:cs="Times New Roman"/>
                <w:b/>
                <w:bCs/>
                <w:color w:val="000000"/>
                <w:sz w:val="20"/>
                <w:szCs w:val="20"/>
                <w:lang w:eastAsia="fr-FR"/>
              </w:rPr>
              <w:t>N</w:t>
            </w:r>
            <w:r w:rsidR="007A6408">
              <w:rPr>
                <w:rFonts w:ascii="Garamond" w:eastAsia="Times New Roman" w:hAnsi="Garamond" w:cs="Times New Roman"/>
                <w:b/>
                <w:bCs/>
                <w:color w:val="000000"/>
                <w:sz w:val="20"/>
                <w:szCs w:val="20"/>
                <w:lang w:eastAsia="fr-FR"/>
              </w:rPr>
              <w:t>ombre</w:t>
            </w:r>
            <w:r w:rsidRPr="0011416E">
              <w:rPr>
                <w:rFonts w:ascii="Garamond" w:eastAsia="Times New Roman" w:hAnsi="Garamond" w:cs="Times New Roman"/>
                <w:b/>
                <w:bCs/>
                <w:color w:val="000000"/>
                <w:sz w:val="20"/>
                <w:szCs w:val="20"/>
                <w:lang w:eastAsia="fr-FR"/>
              </w:rPr>
              <w:t xml:space="preserve"> lits</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29955</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38156</w:t>
            </w:r>
          </w:p>
        </w:tc>
      </w:tr>
      <w:tr w:rsidR="002617D2" w:rsidRPr="00883E21" w:rsidTr="0011416E">
        <w:trPr>
          <w:trHeight w:val="300"/>
        </w:trPr>
        <w:tc>
          <w:tcPr>
            <w:tcW w:w="6952" w:type="dxa"/>
            <w:gridSpan w:val="3"/>
            <w:shd w:val="clear" w:color="auto" w:fill="auto"/>
            <w:noWrap/>
            <w:vAlign w:val="center"/>
            <w:hideMark/>
          </w:tcPr>
          <w:p w:rsidR="002617D2" w:rsidRPr="0011416E" w:rsidRDefault="002617D2" w:rsidP="0011416E">
            <w:pPr>
              <w:spacing w:after="0" w:line="240" w:lineRule="auto"/>
              <w:rPr>
                <w:rFonts w:ascii="Garamond" w:eastAsia="Times New Roman" w:hAnsi="Garamond" w:cs="Times New Roman"/>
                <w:b/>
                <w:bCs/>
                <w:color w:val="000000"/>
                <w:sz w:val="20"/>
                <w:szCs w:val="20"/>
                <w:lang w:eastAsia="fr-FR"/>
              </w:rPr>
            </w:pPr>
            <w:r w:rsidRPr="0011416E">
              <w:rPr>
                <w:rFonts w:ascii="Garamond" w:eastAsia="Times New Roman" w:hAnsi="Garamond" w:cs="Times New Roman"/>
                <w:b/>
                <w:bCs/>
                <w:color w:val="000000"/>
                <w:sz w:val="20"/>
                <w:szCs w:val="20"/>
                <w:lang w:eastAsia="fr-FR"/>
              </w:rPr>
              <w:t>EPSP</w:t>
            </w:r>
          </w:p>
        </w:tc>
      </w:tr>
      <w:tr w:rsidR="0083497B" w:rsidRPr="00883E21" w:rsidTr="00A35320">
        <w:trPr>
          <w:trHeight w:val="300"/>
        </w:trPr>
        <w:tc>
          <w:tcPr>
            <w:tcW w:w="4552" w:type="dxa"/>
            <w:shd w:val="clear" w:color="auto" w:fill="auto"/>
            <w:noWrap/>
            <w:vAlign w:val="center"/>
            <w:hideMark/>
          </w:tcPr>
          <w:p w:rsidR="0083497B" w:rsidRPr="0011416E" w:rsidRDefault="0083497B" w:rsidP="007A6408">
            <w:pPr>
              <w:spacing w:after="0" w:line="240" w:lineRule="auto"/>
              <w:jc w:val="both"/>
              <w:rPr>
                <w:rFonts w:ascii="Garamond" w:eastAsia="Times New Roman" w:hAnsi="Garamond" w:cs="Times New Roman"/>
                <w:b/>
                <w:bCs/>
                <w:color w:val="000000"/>
                <w:sz w:val="20"/>
                <w:szCs w:val="20"/>
                <w:lang w:eastAsia="fr-FR"/>
              </w:rPr>
            </w:pPr>
            <w:r w:rsidRPr="0011416E">
              <w:rPr>
                <w:rFonts w:ascii="Garamond" w:eastAsia="Times New Roman" w:hAnsi="Garamond" w:cs="Times New Roman"/>
                <w:b/>
                <w:bCs/>
                <w:color w:val="000000"/>
                <w:sz w:val="20"/>
                <w:szCs w:val="20"/>
                <w:lang w:eastAsia="fr-FR"/>
              </w:rPr>
              <w:t>EPSP</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271</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271</w:t>
            </w:r>
          </w:p>
        </w:tc>
      </w:tr>
      <w:tr w:rsidR="0083497B" w:rsidRPr="00883E21" w:rsidTr="00A35320">
        <w:trPr>
          <w:trHeight w:val="300"/>
        </w:trPr>
        <w:tc>
          <w:tcPr>
            <w:tcW w:w="4552" w:type="dxa"/>
            <w:shd w:val="clear" w:color="auto" w:fill="auto"/>
            <w:noWrap/>
            <w:vAlign w:val="center"/>
            <w:hideMark/>
          </w:tcPr>
          <w:p w:rsidR="0083497B" w:rsidRPr="0011416E" w:rsidRDefault="007A6408" w:rsidP="00883E21">
            <w:pPr>
              <w:spacing w:after="0" w:line="240" w:lineRule="auto"/>
              <w:jc w:val="both"/>
              <w:rPr>
                <w:rFonts w:ascii="Garamond" w:eastAsia="Times New Roman" w:hAnsi="Garamond" w:cs="Times New Roman"/>
                <w:b/>
                <w:bCs/>
                <w:color w:val="000000"/>
                <w:sz w:val="20"/>
                <w:szCs w:val="20"/>
                <w:lang w:eastAsia="fr-FR"/>
              </w:rPr>
            </w:pPr>
            <w:r w:rsidRPr="0011416E">
              <w:rPr>
                <w:rFonts w:ascii="Garamond" w:eastAsia="Times New Roman" w:hAnsi="Garamond" w:cs="Times New Roman"/>
                <w:b/>
                <w:bCs/>
                <w:color w:val="000000"/>
                <w:sz w:val="20"/>
                <w:szCs w:val="20"/>
                <w:lang w:eastAsia="fr-FR"/>
              </w:rPr>
              <w:t>N</w:t>
            </w:r>
            <w:r>
              <w:rPr>
                <w:rFonts w:ascii="Garamond" w:eastAsia="Times New Roman" w:hAnsi="Garamond" w:cs="Times New Roman"/>
                <w:b/>
                <w:bCs/>
                <w:color w:val="000000"/>
                <w:sz w:val="20"/>
                <w:szCs w:val="20"/>
                <w:lang w:eastAsia="fr-FR"/>
              </w:rPr>
              <w:t xml:space="preserve">ombre </w:t>
            </w:r>
            <w:r w:rsidR="0083497B" w:rsidRPr="0011416E">
              <w:rPr>
                <w:rFonts w:ascii="Garamond" w:eastAsia="Times New Roman" w:hAnsi="Garamond" w:cs="Times New Roman"/>
                <w:b/>
                <w:bCs/>
                <w:color w:val="000000"/>
                <w:sz w:val="20"/>
                <w:szCs w:val="20"/>
                <w:lang w:eastAsia="fr-FR"/>
              </w:rPr>
              <w:t>poly</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455</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1627</w:t>
            </w:r>
          </w:p>
        </w:tc>
      </w:tr>
      <w:tr w:rsidR="0083497B" w:rsidRPr="00883E21" w:rsidTr="00A35320">
        <w:trPr>
          <w:trHeight w:val="300"/>
        </w:trPr>
        <w:tc>
          <w:tcPr>
            <w:tcW w:w="4552" w:type="dxa"/>
            <w:shd w:val="clear" w:color="auto" w:fill="auto"/>
            <w:noWrap/>
            <w:vAlign w:val="center"/>
            <w:hideMark/>
          </w:tcPr>
          <w:p w:rsidR="0083497B" w:rsidRPr="0011416E" w:rsidRDefault="007A6408" w:rsidP="00883E21">
            <w:pPr>
              <w:spacing w:after="0" w:line="240" w:lineRule="auto"/>
              <w:jc w:val="both"/>
              <w:rPr>
                <w:rFonts w:ascii="Garamond" w:eastAsia="Times New Roman" w:hAnsi="Garamond" w:cs="Times New Roman"/>
                <w:b/>
                <w:bCs/>
                <w:color w:val="000000"/>
                <w:sz w:val="20"/>
                <w:szCs w:val="20"/>
                <w:lang w:eastAsia="fr-FR"/>
              </w:rPr>
            </w:pPr>
            <w:r w:rsidRPr="0011416E">
              <w:rPr>
                <w:rFonts w:ascii="Garamond" w:eastAsia="Times New Roman" w:hAnsi="Garamond" w:cs="Times New Roman"/>
                <w:b/>
                <w:bCs/>
                <w:color w:val="000000"/>
                <w:sz w:val="20"/>
                <w:szCs w:val="20"/>
                <w:lang w:eastAsia="fr-FR"/>
              </w:rPr>
              <w:t>N</w:t>
            </w:r>
            <w:r>
              <w:rPr>
                <w:rFonts w:ascii="Garamond" w:eastAsia="Times New Roman" w:hAnsi="Garamond" w:cs="Times New Roman"/>
                <w:b/>
                <w:bCs/>
                <w:color w:val="000000"/>
                <w:sz w:val="20"/>
                <w:szCs w:val="20"/>
                <w:lang w:eastAsia="fr-FR"/>
              </w:rPr>
              <w:t xml:space="preserve">ombre </w:t>
            </w:r>
            <w:r w:rsidR="0083497B" w:rsidRPr="0011416E">
              <w:rPr>
                <w:rFonts w:ascii="Garamond" w:eastAsia="Times New Roman" w:hAnsi="Garamond" w:cs="Times New Roman"/>
                <w:b/>
                <w:bCs/>
                <w:color w:val="000000"/>
                <w:sz w:val="20"/>
                <w:szCs w:val="20"/>
                <w:lang w:eastAsia="fr-FR"/>
              </w:rPr>
              <w:t>salles de soins</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3748</w:t>
            </w:r>
          </w:p>
        </w:tc>
        <w:tc>
          <w:tcPr>
            <w:tcW w:w="1200" w:type="dxa"/>
            <w:shd w:val="clear" w:color="auto" w:fill="auto"/>
            <w:noWrap/>
            <w:vAlign w:val="center"/>
            <w:hideMark/>
          </w:tcPr>
          <w:p w:rsidR="0083497B" w:rsidRPr="00883E21" w:rsidRDefault="0083497B" w:rsidP="0011416E">
            <w:pPr>
              <w:spacing w:after="0" w:line="240" w:lineRule="auto"/>
              <w:jc w:val="right"/>
              <w:rPr>
                <w:rFonts w:ascii="Garamond" w:eastAsia="Times New Roman" w:hAnsi="Garamond" w:cs="Times New Roman"/>
                <w:color w:val="000000"/>
                <w:sz w:val="20"/>
                <w:szCs w:val="20"/>
                <w:lang w:eastAsia="fr-FR"/>
              </w:rPr>
            </w:pPr>
            <w:r w:rsidRPr="00883E21">
              <w:rPr>
                <w:rFonts w:ascii="Garamond" w:eastAsia="Times New Roman" w:hAnsi="Garamond" w:cs="Times New Roman"/>
                <w:color w:val="000000"/>
                <w:sz w:val="20"/>
                <w:szCs w:val="20"/>
                <w:lang w:eastAsia="fr-FR"/>
              </w:rPr>
              <w:t>5484</w:t>
            </w:r>
          </w:p>
        </w:tc>
      </w:tr>
    </w:tbl>
    <w:p w:rsidR="0083497B" w:rsidRPr="00C077CA" w:rsidRDefault="009064E5" w:rsidP="00883E21">
      <w:pPr>
        <w:spacing w:after="0" w:line="240" w:lineRule="auto"/>
        <w:jc w:val="both"/>
        <w:rPr>
          <w:rFonts w:asciiTheme="minorBidi" w:hAnsiTheme="minorBidi"/>
          <w:i/>
          <w:iCs/>
          <w:sz w:val="16"/>
          <w:szCs w:val="16"/>
        </w:rPr>
      </w:pPr>
      <w:r w:rsidRPr="00C077CA">
        <w:rPr>
          <w:rFonts w:asciiTheme="minorBidi" w:hAnsiTheme="minorBidi"/>
          <w:i/>
          <w:iCs/>
          <w:sz w:val="16"/>
          <w:szCs w:val="16"/>
        </w:rPr>
        <w:t>Source : tableau réalisé par nos soins à partir des données du MSPRH.</w:t>
      </w:r>
    </w:p>
    <w:p w:rsidR="009064E5" w:rsidRPr="00883E21" w:rsidRDefault="009064E5" w:rsidP="00883E21">
      <w:pPr>
        <w:spacing w:after="0" w:line="240" w:lineRule="auto"/>
        <w:jc w:val="both"/>
        <w:rPr>
          <w:rFonts w:ascii="Garamond" w:hAnsi="Garamond" w:cstheme="majorBidi"/>
          <w:sz w:val="20"/>
          <w:szCs w:val="20"/>
        </w:rPr>
      </w:pPr>
    </w:p>
    <w:p w:rsidR="009064E5" w:rsidRPr="00883E21" w:rsidRDefault="009064E5" w:rsidP="00883E21">
      <w:pPr>
        <w:spacing w:after="0" w:line="240" w:lineRule="auto"/>
        <w:jc w:val="both"/>
        <w:rPr>
          <w:rFonts w:ascii="Garamond" w:hAnsi="Garamond" w:cstheme="majorBidi"/>
          <w:sz w:val="20"/>
          <w:szCs w:val="20"/>
        </w:rPr>
      </w:pPr>
    </w:p>
    <w:p w:rsidR="004F1EA0" w:rsidRPr="00883E21" w:rsidRDefault="00C7189A"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w:t>
      </w:r>
      <w:r w:rsidR="009064E5" w:rsidRPr="00883E21">
        <w:rPr>
          <w:rFonts w:ascii="Garamond" w:hAnsi="Garamond" w:cstheme="majorBidi"/>
          <w:sz w:val="20"/>
          <w:szCs w:val="20"/>
        </w:rPr>
        <w:t xml:space="preserve">e </w:t>
      </w:r>
      <w:r w:rsidR="004F1EA0" w:rsidRPr="00883E21">
        <w:rPr>
          <w:rFonts w:ascii="Garamond" w:hAnsi="Garamond" w:cstheme="majorBidi"/>
          <w:sz w:val="20"/>
          <w:szCs w:val="20"/>
        </w:rPr>
        <w:t xml:space="preserve">nombre de lits d’hospitalisation a subi une augmentation continue qui vise à améliorer l’indice global de 1,88 lit par habitant, </w:t>
      </w:r>
      <w:r w:rsidR="009064E5" w:rsidRPr="00883E21">
        <w:rPr>
          <w:rFonts w:ascii="Garamond" w:hAnsi="Garamond" w:cstheme="majorBidi"/>
          <w:sz w:val="20"/>
          <w:szCs w:val="20"/>
        </w:rPr>
        <w:t>cependant</w:t>
      </w:r>
      <w:r w:rsidR="004F1EA0" w:rsidRPr="00883E21">
        <w:rPr>
          <w:rFonts w:ascii="Garamond" w:hAnsi="Garamond" w:cstheme="majorBidi"/>
          <w:sz w:val="20"/>
          <w:szCs w:val="20"/>
        </w:rPr>
        <w:t xml:space="preserve"> ses lits demeurent toujours sous utilisés, avec un ta</w:t>
      </w:r>
      <w:r w:rsidRPr="00883E21">
        <w:rPr>
          <w:rFonts w:ascii="Garamond" w:hAnsi="Garamond" w:cstheme="majorBidi"/>
          <w:sz w:val="20"/>
          <w:szCs w:val="20"/>
        </w:rPr>
        <w:t>ux d’occupation avoisinant les 70</w:t>
      </w:r>
      <w:r w:rsidR="004F1EA0" w:rsidRPr="00883E21">
        <w:rPr>
          <w:rFonts w:ascii="Garamond" w:hAnsi="Garamond" w:cstheme="majorBidi"/>
          <w:sz w:val="20"/>
          <w:szCs w:val="20"/>
        </w:rPr>
        <w:t>% en 20</w:t>
      </w:r>
      <w:r w:rsidR="009064E5" w:rsidRPr="00883E21">
        <w:rPr>
          <w:rFonts w:ascii="Garamond" w:hAnsi="Garamond" w:cstheme="majorBidi"/>
          <w:sz w:val="20"/>
          <w:szCs w:val="20"/>
        </w:rPr>
        <w:t>1</w:t>
      </w:r>
      <w:r w:rsidR="004F1EA0" w:rsidRPr="00883E21">
        <w:rPr>
          <w:rFonts w:ascii="Garamond" w:hAnsi="Garamond" w:cstheme="majorBidi"/>
          <w:sz w:val="20"/>
          <w:szCs w:val="20"/>
        </w:rPr>
        <w:t>3.</w:t>
      </w:r>
    </w:p>
    <w:p w:rsidR="004F1EA0" w:rsidRDefault="004F1EA0"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La baisse des journées d’hospitalisation peut être justifiée par le développement des technologies de soins qui tendent à raccourcir le nombre de journées d’hospitalisation au profit de la médecine ambulatoire</w:t>
      </w:r>
      <w:r w:rsidRPr="00883E21">
        <w:rPr>
          <w:rStyle w:val="Appelnotedebasdep"/>
          <w:rFonts w:ascii="Garamond" w:hAnsi="Garamond" w:cstheme="majorBidi"/>
          <w:sz w:val="20"/>
          <w:szCs w:val="20"/>
        </w:rPr>
        <w:footnoteReference w:id="16"/>
      </w:r>
      <w:r w:rsidRPr="00883E21">
        <w:rPr>
          <w:rFonts w:ascii="Garamond" w:hAnsi="Garamond" w:cstheme="majorBidi"/>
          <w:sz w:val="20"/>
          <w:szCs w:val="20"/>
        </w:rPr>
        <w:t>.</w:t>
      </w:r>
    </w:p>
    <w:p w:rsidR="0011416E" w:rsidRPr="00883E21" w:rsidRDefault="0011416E" w:rsidP="00883E21">
      <w:pPr>
        <w:spacing w:after="0" w:line="240" w:lineRule="auto"/>
        <w:jc w:val="both"/>
        <w:rPr>
          <w:rFonts w:ascii="Garamond" w:hAnsi="Garamond" w:cstheme="majorBidi"/>
          <w:sz w:val="20"/>
          <w:szCs w:val="20"/>
        </w:rPr>
      </w:pPr>
    </w:p>
    <w:p w:rsidR="009064E5" w:rsidRPr="00883E21" w:rsidRDefault="009064E5"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La problématique de l’offre de soins en algérien n’est pas le nombre d’infrastructures, c’est surtout la répartition géographique et la qualité des soins de santé offerte</w:t>
      </w:r>
      <w:r w:rsidR="002617D2">
        <w:rPr>
          <w:rFonts w:ascii="Garamond" w:hAnsi="Garamond" w:cstheme="majorBidi"/>
          <w:sz w:val="20"/>
          <w:szCs w:val="20"/>
        </w:rPr>
        <w:t>s. L’examen des données explorées</w:t>
      </w:r>
      <w:r w:rsidRPr="00883E21">
        <w:rPr>
          <w:rFonts w:ascii="Garamond" w:hAnsi="Garamond" w:cstheme="majorBidi"/>
          <w:sz w:val="20"/>
          <w:szCs w:val="20"/>
        </w:rPr>
        <w:t xml:space="preserve"> par régions sanitaires révèle cette insuffisance</w:t>
      </w:r>
      <w:r w:rsidR="005C5D3C" w:rsidRPr="00883E21">
        <w:rPr>
          <w:rFonts w:ascii="Garamond" w:hAnsi="Garamond" w:cstheme="majorBidi"/>
          <w:sz w:val="20"/>
          <w:szCs w:val="20"/>
        </w:rPr>
        <w:t>.</w:t>
      </w:r>
    </w:p>
    <w:p w:rsidR="00A35320" w:rsidRPr="00883E21" w:rsidRDefault="00A35320" w:rsidP="00883E21">
      <w:pPr>
        <w:spacing w:after="0" w:line="240" w:lineRule="auto"/>
        <w:jc w:val="both"/>
        <w:rPr>
          <w:rFonts w:ascii="Garamond" w:hAnsi="Garamond" w:cstheme="majorBidi"/>
          <w:sz w:val="20"/>
          <w:szCs w:val="20"/>
        </w:rPr>
      </w:pPr>
    </w:p>
    <w:p w:rsidR="005C5D3C" w:rsidRPr="00644F81" w:rsidRDefault="005C5D3C" w:rsidP="00883E21">
      <w:pPr>
        <w:spacing w:after="0" w:line="240" w:lineRule="auto"/>
        <w:jc w:val="both"/>
        <w:rPr>
          <w:rFonts w:ascii="Garamond" w:hAnsi="Garamond" w:cstheme="majorBidi"/>
          <w:b/>
          <w:bCs/>
          <w:sz w:val="20"/>
          <w:szCs w:val="20"/>
        </w:rPr>
      </w:pPr>
      <w:r w:rsidRPr="00644F81">
        <w:rPr>
          <w:rFonts w:ascii="Garamond" w:hAnsi="Garamond" w:cstheme="majorBidi"/>
          <w:b/>
          <w:bCs/>
          <w:sz w:val="20"/>
          <w:szCs w:val="20"/>
        </w:rPr>
        <w:t>Tableau n°</w:t>
      </w:r>
      <w:r w:rsidR="00A35320" w:rsidRPr="00644F81">
        <w:rPr>
          <w:rFonts w:ascii="Garamond" w:hAnsi="Garamond" w:cstheme="majorBidi"/>
          <w:b/>
          <w:bCs/>
          <w:sz w:val="20"/>
          <w:szCs w:val="20"/>
        </w:rPr>
        <w:t>03</w:t>
      </w:r>
      <w:r w:rsidRPr="00644F81">
        <w:rPr>
          <w:rFonts w:ascii="Garamond" w:hAnsi="Garamond" w:cstheme="majorBidi"/>
          <w:b/>
          <w:bCs/>
          <w:sz w:val="20"/>
          <w:szCs w:val="20"/>
        </w:rPr>
        <w:t> : la répartition des structures de soins par régions sanitaires.</w:t>
      </w:r>
    </w:p>
    <w:tbl>
      <w:tblPr>
        <w:tblW w:w="874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40"/>
        <w:gridCol w:w="1200"/>
        <w:gridCol w:w="1200"/>
        <w:gridCol w:w="1200"/>
        <w:gridCol w:w="1200"/>
        <w:gridCol w:w="1200"/>
      </w:tblGrid>
      <w:tr w:rsidR="005C5D3C" w:rsidRPr="0011416E"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Infrastructures</w:t>
            </w:r>
          </w:p>
        </w:tc>
        <w:tc>
          <w:tcPr>
            <w:tcW w:w="1200" w:type="dxa"/>
            <w:shd w:val="clear" w:color="auto" w:fill="auto"/>
            <w:noWrap/>
            <w:vAlign w:val="center"/>
            <w:hideMark/>
          </w:tcPr>
          <w:p w:rsidR="005C5D3C" w:rsidRPr="0011416E" w:rsidRDefault="005C5D3C"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centre</w:t>
            </w:r>
          </w:p>
        </w:tc>
        <w:tc>
          <w:tcPr>
            <w:tcW w:w="1200" w:type="dxa"/>
            <w:shd w:val="clear" w:color="auto" w:fill="auto"/>
            <w:noWrap/>
            <w:vAlign w:val="center"/>
            <w:hideMark/>
          </w:tcPr>
          <w:p w:rsidR="005C5D3C" w:rsidRPr="0011416E" w:rsidRDefault="005C5D3C"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ouest</w:t>
            </w:r>
          </w:p>
        </w:tc>
        <w:tc>
          <w:tcPr>
            <w:tcW w:w="1200" w:type="dxa"/>
            <w:shd w:val="clear" w:color="auto" w:fill="auto"/>
            <w:noWrap/>
            <w:vAlign w:val="center"/>
            <w:hideMark/>
          </w:tcPr>
          <w:p w:rsidR="005C5D3C" w:rsidRPr="0011416E" w:rsidRDefault="005C5D3C"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est</w:t>
            </w:r>
          </w:p>
        </w:tc>
        <w:tc>
          <w:tcPr>
            <w:tcW w:w="1200" w:type="dxa"/>
            <w:shd w:val="clear" w:color="auto" w:fill="auto"/>
            <w:noWrap/>
            <w:vAlign w:val="center"/>
            <w:hideMark/>
          </w:tcPr>
          <w:p w:rsidR="005C5D3C" w:rsidRPr="0011416E" w:rsidRDefault="005C5D3C"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sud est</w:t>
            </w:r>
          </w:p>
        </w:tc>
        <w:tc>
          <w:tcPr>
            <w:tcW w:w="1200" w:type="dxa"/>
            <w:shd w:val="clear" w:color="auto" w:fill="auto"/>
            <w:noWrap/>
            <w:vAlign w:val="center"/>
            <w:hideMark/>
          </w:tcPr>
          <w:p w:rsidR="005C5D3C" w:rsidRPr="0011416E" w:rsidRDefault="005C5D3C"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sud ouest</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CHU</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NBRE lits</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5386</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3756</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4112</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EH</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NBRE lits</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410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439</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EHS</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21</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NBRE lits</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4248</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3018</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2772</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150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764</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EPH</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55</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35</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66</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25</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14</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NBRE lits</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11234</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7833</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10841</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5911</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2337</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EPSP</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w:t>
            </w:r>
            <w:r w:rsidR="0011416E">
              <w:rPr>
                <w:rFonts w:ascii="Garamond" w:eastAsia="Times New Roman" w:hAnsi="Garamond" w:cs="Times New Roman"/>
                <w:b/>
                <w:bCs/>
                <w:sz w:val="20"/>
                <w:szCs w:val="20"/>
                <w:lang w:eastAsia="fr-FR"/>
              </w:rPr>
              <w:t>om</w:t>
            </w:r>
            <w:r w:rsidRPr="0011416E">
              <w:rPr>
                <w:rFonts w:ascii="Garamond" w:eastAsia="Times New Roman" w:hAnsi="Garamond" w:cs="Times New Roman"/>
                <w:b/>
                <w:bCs/>
                <w:sz w:val="20"/>
                <w:szCs w:val="20"/>
                <w:lang w:eastAsia="fr-FR"/>
              </w:rPr>
              <w:t>bre EPSP</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66</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56</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76</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23</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NBRE poly</w:t>
            </w:r>
            <w:r w:rsidR="000D14FE" w:rsidRPr="0011416E">
              <w:rPr>
                <w:rFonts w:ascii="Garamond" w:eastAsia="Times New Roman" w:hAnsi="Garamond" w:cs="Times New Roman"/>
                <w:b/>
                <w:bCs/>
                <w:sz w:val="20"/>
                <w:szCs w:val="20"/>
                <w:lang w:eastAsia="fr-FR"/>
              </w:rPr>
              <w:t>clinique</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365</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258</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350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115</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43</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lits urgence</w:t>
            </w:r>
            <w:r w:rsidR="000D14FE" w:rsidRPr="0011416E">
              <w:rPr>
                <w:rFonts w:ascii="Garamond" w:eastAsia="Times New Roman" w:hAnsi="Garamond" w:cs="Times New Roman"/>
                <w:b/>
                <w:bCs/>
                <w:sz w:val="20"/>
                <w:szCs w:val="20"/>
                <w:lang w:eastAsia="fr-FR"/>
              </w:rPr>
              <w:t xml:space="preserve"> polyclinique</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1038</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662</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880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445</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289</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w:t>
            </w:r>
            <w:r w:rsidR="0011416E">
              <w:rPr>
                <w:rFonts w:ascii="Garamond" w:eastAsia="Times New Roman" w:hAnsi="Garamond" w:cs="Times New Roman"/>
                <w:b/>
                <w:bCs/>
                <w:sz w:val="20"/>
                <w:szCs w:val="20"/>
                <w:lang w:eastAsia="fr-FR"/>
              </w:rPr>
              <w:t>om</w:t>
            </w:r>
            <w:r w:rsidRPr="0011416E">
              <w:rPr>
                <w:rFonts w:ascii="Garamond" w:eastAsia="Times New Roman" w:hAnsi="Garamond" w:cs="Times New Roman"/>
                <w:b/>
                <w:bCs/>
                <w:sz w:val="20"/>
                <w:szCs w:val="20"/>
                <w:lang w:eastAsia="fr-FR"/>
              </w:rPr>
              <w:t xml:space="preserve">bre </w:t>
            </w:r>
            <w:r w:rsidR="0011416E" w:rsidRPr="0011416E">
              <w:rPr>
                <w:rFonts w:ascii="Garamond" w:eastAsia="Times New Roman" w:hAnsi="Garamond" w:cs="Times New Roman"/>
                <w:b/>
                <w:bCs/>
                <w:sz w:val="20"/>
                <w:szCs w:val="20"/>
                <w:lang w:eastAsia="fr-FR"/>
              </w:rPr>
              <w:t>maternité</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105</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46</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38</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lits </w:t>
            </w:r>
            <w:r w:rsidR="0011416E" w:rsidRPr="0011416E">
              <w:rPr>
                <w:rFonts w:ascii="Garamond" w:eastAsia="Times New Roman" w:hAnsi="Garamond" w:cs="Times New Roman"/>
                <w:b/>
                <w:bCs/>
                <w:sz w:val="20"/>
                <w:szCs w:val="20"/>
                <w:lang w:eastAsia="fr-FR"/>
              </w:rPr>
              <w:t>maternité</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800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885</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842</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278</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191</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w:t>
            </w:r>
            <w:r w:rsidR="0011416E">
              <w:rPr>
                <w:rFonts w:ascii="Garamond" w:eastAsia="Times New Roman" w:hAnsi="Garamond" w:cs="Times New Roman"/>
                <w:b/>
                <w:bCs/>
                <w:sz w:val="20"/>
                <w:szCs w:val="20"/>
                <w:lang w:eastAsia="fr-FR"/>
              </w:rPr>
              <w:t>om</w:t>
            </w:r>
            <w:r w:rsidRPr="0011416E">
              <w:rPr>
                <w:rFonts w:ascii="Garamond" w:eastAsia="Times New Roman" w:hAnsi="Garamond" w:cs="Times New Roman"/>
                <w:b/>
                <w:bCs/>
                <w:sz w:val="20"/>
                <w:szCs w:val="20"/>
                <w:lang w:eastAsia="fr-FR"/>
              </w:rPr>
              <w:t>bre salles de soins</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1483</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1422</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1751</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538</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351</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Cabinets médicaux privés</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8470</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3904</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5522</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978</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240</w:t>
            </w:r>
          </w:p>
        </w:tc>
      </w:tr>
      <w:tr w:rsidR="005C5D3C" w:rsidRPr="00883E21" w:rsidTr="005C5D3C">
        <w:trPr>
          <w:trHeight w:val="300"/>
        </w:trPr>
        <w:tc>
          <w:tcPr>
            <w:tcW w:w="2740" w:type="dxa"/>
            <w:shd w:val="clear" w:color="auto" w:fill="auto"/>
            <w:noWrap/>
            <w:vAlign w:val="center"/>
            <w:hideMark/>
          </w:tcPr>
          <w:p w:rsidR="005C5D3C" w:rsidRPr="0011416E" w:rsidRDefault="005C5D3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Cliniques privées</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181</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78</w:t>
            </w:r>
          </w:p>
        </w:tc>
        <w:tc>
          <w:tcPr>
            <w:tcW w:w="1200" w:type="dxa"/>
            <w:shd w:val="clear" w:color="auto" w:fill="auto"/>
            <w:noWrap/>
            <w:vAlign w:val="center"/>
            <w:hideMark/>
          </w:tcPr>
          <w:p w:rsidR="005C5D3C" w:rsidRPr="00883E21" w:rsidRDefault="005C5D3C"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117</w:t>
            </w:r>
          </w:p>
        </w:tc>
        <w:tc>
          <w:tcPr>
            <w:tcW w:w="1200" w:type="dxa"/>
            <w:shd w:val="clear" w:color="auto" w:fill="auto"/>
            <w:noWrap/>
            <w:vAlign w:val="center"/>
            <w:hideMark/>
          </w:tcPr>
          <w:p w:rsidR="005C5D3C" w:rsidRPr="00883E21" w:rsidRDefault="00EA169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20</w:t>
            </w:r>
          </w:p>
        </w:tc>
        <w:tc>
          <w:tcPr>
            <w:tcW w:w="1200" w:type="dxa"/>
            <w:shd w:val="clear" w:color="auto" w:fill="auto"/>
            <w:noWrap/>
            <w:vAlign w:val="center"/>
            <w:hideMark/>
          </w:tcPr>
          <w:p w:rsidR="005C5D3C" w:rsidRPr="00883E21" w:rsidRDefault="00EA169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w:t>
            </w:r>
          </w:p>
        </w:tc>
      </w:tr>
    </w:tbl>
    <w:p w:rsidR="00AE31A5" w:rsidRPr="00C077CA" w:rsidRDefault="00AE31A5" w:rsidP="00883E21">
      <w:pPr>
        <w:spacing w:after="0" w:line="240" w:lineRule="auto"/>
        <w:jc w:val="both"/>
        <w:rPr>
          <w:rFonts w:asciiTheme="minorBidi" w:hAnsiTheme="minorBidi"/>
          <w:i/>
          <w:iCs/>
          <w:sz w:val="16"/>
          <w:szCs w:val="16"/>
        </w:rPr>
      </w:pPr>
      <w:r w:rsidRPr="00C077CA">
        <w:rPr>
          <w:rFonts w:asciiTheme="minorBidi" w:hAnsiTheme="minorBidi"/>
          <w:i/>
          <w:iCs/>
          <w:sz w:val="16"/>
          <w:szCs w:val="16"/>
        </w:rPr>
        <w:t>Source : tableau et calculs réalisés par nos soins à partir des données du MSPRH.</w:t>
      </w:r>
    </w:p>
    <w:p w:rsidR="005C5D3C" w:rsidRPr="00883E21" w:rsidRDefault="005C5D3C" w:rsidP="00883E21">
      <w:pPr>
        <w:spacing w:after="0" w:line="240" w:lineRule="auto"/>
        <w:jc w:val="both"/>
        <w:rPr>
          <w:rFonts w:ascii="Garamond" w:hAnsi="Garamond" w:cstheme="majorBidi"/>
          <w:sz w:val="20"/>
          <w:szCs w:val="20"/>
        </w:rPr>
      </w:pPr>
    </w:p>
    <w:p w:rsidR="009064E5" w:rsidRPr="00883E21" w:rsidRDefault="00EA169E"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lastRenderedPageBreak/>
        <w:t xml:space="preserve">Tout le sud du pays est privé de soins de santé hautement spécialisés vue l’absence de CHU et d’EH, ce qui oblige les patients à se déplacer vers les wilayas du nord pour </w:t>
      </w:r>
      <w:r w:rsidR="00F20892" w:rsidRPr="00883E21">
        <w:rPr>
          <w:rFonts w:ascii="Garamond" w:hAnsi="Garamond" w:cstheme="majorBidi"/>
          <w:sz w:val="20"/>
          <w:szCs w:val="20"/>
        </w:rPr>
        <w:t xml:space="preserve">recevoir les soins </w:t>
      </w:r>
      <w:r w:rsidRPr="00883E21">
        <w:rPr>
          <w:rFonts w:ascii="Garamond" w:hAnsi="Garamond" w:cstheme="majorBidi"/>
          <w:sz w:val="20"/>
          <w:szCs w:val="20"/>
        </w:rPr>
        <w:t>médica</w:t>
      </w:r>
      <w:r w:rsidR="00F20892" w:rsidRPr="00883E21">
        <w:rPr>
          <w:rFonts w:ascii="Garamond" w:hAnsi="Garamond" w:cstheme="majorBidi"/>
          <w:sz w:val="20"/>
          <w:szCs w:val="20"/>
        </w:rPr>
        <w:t xml:space="preserve">ux </w:t>
      </w:r>
      <w:r w:rsidR="00C7189A" w:rsidRPr="00883E21">
        <w:rPr>
          <w:rFonts w:ascii="Garamond" w:hAnsi="Garamond" w:cstheme="majorBidi"/>
          <w:sz w:val="20"/>
          <w:szCs w:val="20"/>
        </w:rPr>
        <w:t>qualifié de pointes, alors que les populations du nord sont mieux couvertes</w:t>
      </w:r>
      <w:r w:rsidRPr="00883E21">
        <w:rPr>
          <w:rFonts w:ascii="Garamond" w:hAnsi="Garamond" w:cstheme="majorBidi"/>
          <w:sz w:val="20"/>
          <w:szCs w:val="20"/>
        </w:rPr>
        <w:t>.</w:t>
      </w:r>
    </w:p>
    <w:p w:rsidR="00EA169E" w:rsidRPr="00883E21" w:rsidRDefault="006149F9"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L’examen des taux de couvertures sanitaires par régions montre une répartition non équitable des structures de soins, comme le montre le tableau suivant.</w:t>
      </w:r>
    </w:p>
    <w:p w:rsidR="006149F9" w:rsidRPr="00883E21" w:rsidRDefault="006149F9" w:rsidP="00883E21">
      <w:pPr>
        <w:spacing w:after="0" w:line="240" w:lineRule="auto"/>
        <w:jc w:val="both"/>
        <w:rPr>
          <w:rFonts w:ascii="Garamond" w:hAnsi="Garamond" w:cstheme="majorBidi"/>
          <w:sz w:val="20"/>
          <w:szCs w:val="20"/>
        </w:rPr>
      </w:pPr>
    </w:p>
    <w:p w:rsidR="006149F9" w:rsidRPr="00883E21" w:rsidRDefault="006149F9" w:rsidP="00883E21">
      <w:pPr>
        <w:spacing w:after="0" w:line="240" w:lineRule="auto"/>
        <w:jc w:val="both"/>
        <w:rPr>
          <w:rFonts w:ascii="Garamond" w:hAnsi="Garamond" w:cstheme="majorBidi"/>
          <w:sz w:val="20"/>
          <w:szCs w:val="20"/>
        </w:rPr>
      </w:pPr>
    </w:p>
    <w:p w:rsidR="000D14FE" w:rsidRPr="00883E21" w:rsidRDefault="00AE31A5"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 xml:space="preserve">Tableau n°04 : les </w:t>
      </w:r>
      <w:r w:rsidR="000D14FE" w:rsidRPr="00883E21">
        <w:rPr>
          <w:rFonts w:ascii="Garamond" w:hAnsi="Garamond" w:cstheme="majorBidi"/>
          <w:b/>
          <w:bCs/>
          <w:sz w:val="20"/>
          <w:szCs w:val="20"/>
        </w:rPr>
        <w:t xml:space="preserve">taux de couverture </w:t>
      </w:r>
      <w:r w:rsidRPr="00883E21">
        <w:rPr>
          <w:rFonts w:ascii="Garamond" w:hAnsi="Garamond" w:cstheme="majorBidi"/>
          <w:b/>
          <w:bCs/>
          <w:sz w:val="20"/>
          <w:szCs w:val="20"/>
        </w:rPr>
        <w:t xml:space="preserve">en infrastructures </w:t>
      </w:r>
      <w:r w:rsidR="000D14FE" w:rsidRPr="00883E21">
        <w:rPr>
          <w:rFonts w:ascii="Garamond" w:hAnsi="Garamond" w:cstheme="majorBidi"/>
          <w:b/>
          <w:bCs/>
          <w:sz w:val="20"/>
          <w:szCs w:val="20"/>
        </w:rPr>
        <w:t>par région</w:t>
      </w:r>
      <w:r w:rsidRPr="00883E21">
        <w:rPr>
          <w:rFonts w:ascii="Garamond" w:hAnsi="Garamond" w:cstheme="majorBidi"/>
          <w:b/>
          <w:bCs/>
          <w:sz w:val="20"/>
          <w:szCs w:val="20"/>
        </w:rPr>
        <w:t xml:space="preserve"> sanitaires</w:t>
      </w:r>
      <w:r w:rsidR="000D14FE" w:rsidRPr="00883E21">
        <w:rPr>
          <w:rFonts w:ascii="Garamond" w:hAnsi="Garamond" w:cstheme="majorBidi"/>
          <w:b/>
          <w:bCs/>
          <w:sz w:val="20"/>
          <w:szCs w:val="20"/>
        </w:rPr>
        <w:t xml:space="preserve"> </w:t>
      </w:r>
      <w:r w:rsidRPr="00883E21">
        <w:rPr>
          <w:rFonts w:ascii="Garamond" w:hAnsi="Garamond" w:cstheme="majorBidi"/>
          <w:b/>
          <w:bCs/>
          <w:sz w:val="20"/>
          <w:szCs w:val="20"/>
        </w:rPr>
        <w:t>en 2013.</w:t>
      </w:r>
    </w:p>
    <w:tbl>
      <w:tblPr>
        <w:tblW w:w="880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44"/>
        <w:gridCol w:w="992"/>
        <w:gridCol w:w="992"/>
        <w:gridCol w:w="992"/>
        <w:gridCol w:w="993"/>
        <w:gridCol w:w="992"/>
      </w:tblGrid>
      <w:tr w:rsidR="000D14FE" w:rsidRPr="0011416E" w:rsidTr="0011416E">
        <w:trPr>
          <w:trHeight w:val="20"/>
        </w:trPr>
        <w:tc>
          <w:tcPr>
            <w:tcW w:w="3844" w:type="dxa"/>
            <w:shd w:val="clear" w:color="auto" w:fill="auto"/>
            <w:noWrap/>
            <w:vAlign w:val="center"/>
            <w:hideMark/>
          </w:tcPr>
          <w:p w:rsidR="000D14FE" w:rsidRPr="0011416E" w:rsidRDefault="000D14FE"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Infrastructures</w:t>
            </w:r>
          </w:p>
        </w:tc>
        <w:tc>
          <w:tcPr>
            <w:tcW w:w="992" w:type="dxa"/>
            <w:shd w:val="clear" w:color="auto" w:fill="auto"/>
            <w:noWrap/>
            <w:vAlign w:val="center"/>
            <w:hideMark/>
          </w:tcPr>
          <w:p w:rsidR="000D14FE" w:rsidRPr="0011416E" w:rsidRDefault="000D14FE"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centre</w:t>
            </w:r>
          </w:p>
        </w:tc>
        <w:tc>
          <w:tcPr>
            <w:tcW w:w="992" w:type="dxa"/>
            <w:shd w:val="clear" w:color="auto" w:fill="auto"/>
            <w:noWrap/>
            <w:vAlign w:val="center"/>
            <w:hideMark/>
          </w:tcPr>
          <w:p w:rsidR="000D14FE" w:rsidRPr="0011416E" w:rsidRDefault="000D14FE"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ouest</w:t>
            </w:r>
          </w:p>
        </w:tc>
        <w:tc>
          <w:tcPr>
            <w:tcW w:w="992" w:type="dxa"/>
            <w:shd w:val="clear" w:color="auto" w:fill="auto"/>
            <w:noWrap/>
            <w:vAlign w:val="center"/>
            <w:hideMark/>
          </w:tcPr>
          <w:p w:rsidR="000D14FE" w:rsidRPr="0011416E" w:rsidRDefault="000D14FE"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est</w:t>
            </w:r>
          </w:p>
        </w:tc>
        <w:tc>
          <w:tcPr>
            <w:tcW w:w="993" w:type="dxa"/>
            <w:shd w:val="clear" w:color="auto" w:fill="auto"/>
            <w:noWrap/>
            <w:vAlign w:val="center"/>
            <w:hideMark/>
          </w:tcPr>
          <w:p w:rsidR="000D14FE" w:rsidRPr="0011416E" w:rsidRDefault="000D14FE"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sud est</w:t>
            </w:r>
          </w:p>
        </w:tc>
        <w:tc>
          <w:tcPr>
            <w:tcW w:w="992" w:type="dxa"/>
            <w:shd w:val="clear" w:color="auto" w:fill="auto"/>
            <w:noWrap/>
            <w:vAlign w:val="center"/>
            <w:hideMark/>
          </w:tcPr>
          <w:p w:rsidR="000D14FE" w:rsidRPr="0011416E" w:rsidRDefault="000D14FE" w:rsidP="0011416E">
            <w:pPr>
              <w:spacing w:after="0" w:line="240" w:lineRule="auto"/>
              <w:jc w:val="right"/>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Régions sud ouest</w:t>
            </w:r>
          </w:p>
        </w:tc>
      </w:tr>
      <w:tr w:rsidR="00AA0C9C" w:rsidRPr="00883E21" w:rsidTr="0011416E">
        <w:trPr>
          <w:trHeight w:val="20"/>
        </w:trPr>
        <w:tc>
          <w:tcPr>
            <w:tcW w:w="3844" w:type="dxa"/>
            <w:shd w:val="clear" w:color="auto" w:fill="auto"/>
            <w:noWrap/>
            <w:vAlign w:val="center"/>
            <w:hideMark/>
          </w:tcPr>
          <w:p w:rsidR="00AA0C9C" w:rsidRPr="0011416E" w:rsidRDefault="00AA0C9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Nombre de CHU</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7</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3</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4</w:t>
            </w:r>
          </w:p>
        </w:tc>
        <w:tc>
          <w:tcPr>
            <w:tcW w:w="993"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r>
      <w:tr w:rsidR="00AA0C9C" w:rsidRPr="00883E21" w:rsidTr="0011416E">
        <w:trPr>
          <w:trHeight w:val="20"/>
        </w:trPr>
        <w:tc>
          <w:tcPr>
            <w:tcW w:w="3844" w:type="dxa"/>
            <w:shd w:val="clear" w:color="auto" w:fill="auto"/>
            <w:noWrap/>
            <w:vAlign w:val="center"/>
            <w:hideMark/>
          </w:tcPr>
          <w:p w:rsidR="00AA0C9C" w:rsidRPr="0011416E" w:rsidRDefault="00AA0C9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Habitants pour un CHU</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1776541,</w:t>
            </w:r>
            <w:r w:rsidR="0011416E">
              <w:rPr>
                <w:rFonts w:ascii="Garamond" w:hAnsi="Garamond"/>
                <w:color w:val="000000"/>
                <w:sz w:val="20"/>
                <w:szCs w:val="20"/>
              </w:rPr>
              <w:t>3</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2955604</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2515654,5</w:t>
            </w:r>
          </w:p>
        </w:tc>
        <w:tc>
          <w:tcPr>
            <w:tcW w:w="993"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992"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r>
      <w:tr w:rsidR="00AA0C9C" w:rsidRPr="00883E21" w:rsidTr="0011416E">
        <w:trPr>
          <w:trHeight w:val="20"/>
        </w:trPr>
        <w:tc>
          <w:tcPr>
            <w:tcW w:w="3844" w:type="dxa"/>
            <w:shd w:val="clear" w:color="auto" w:fill="auto"/>
            <w:noWrap/>
            <w:vAlign w:val="center"/>
            <w:hideMark/>
          </w:tcPr>
          <w:p w:rsidR="00AA0C9C" w:rsidRPr="0011416E" w:rsidRDefault="00AA0C9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Nombre lits CHU</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5386</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3756</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4112</w:t>
            </w:r>
          </w:p>
        </w:tc>
        <w:tc>
          <w:tcPr>
            <w:tcW w:w="993"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r>
      <w:tr w:rsidR="00AA0C9C" w:rsidRPr="00883E21" w:rsidTr="0011416E">
        <w:trPr>
          <w:trHeight w:val="20"/>
        </w:trPr>
        <w:tc>
          <w:tcPr>
            <w:tcW w:w="3844" w:type="dxa"/>
            <w:shd w:val="clear" w:color="auto" w:fill="auto"/>
            <w:noWrap/>
            <w:vAlign w:val="center"/>
            <w:hideMark/>
          </w:tcPr>
          <w:p w:rsidR="00AA0C9C" w:rsidRPr="0011416E" w:rsidRDefault="00AA0C9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Habitants pour un lit CHU</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2308,9</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2360,7</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2447,1</w:t>
            </w:r>
          </w:p>
        </w:tc>
        <w:tc>
          <w:tcPr>
            <w:tcW w:w="993"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992"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r>
      <w:tr w:rsidR="00AA0C9C" w:rsidRPr="00883E21" w:rsidTr="0011416E">
        <w:trPr>
          <w:trHeight w:val="20"/>
        </w:trPr>
        <w:tc>
          <w:tcPr>
            <w:tcW w:w="3844" w:type="dxa"/>
            <w:shd w:val="clear" w:color="auto" w:fill="auto"/>
            <w:noWrap/>
            <w:vAlign w:val="center"/>
            <w:hideMark/>
          </w:tcPr>
          <w:p w:rsidR="00AA0C9C" w:rsidRPr="0011416E" w:rsidRDefault="00AA0C9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Nombre EH</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2</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3</w:t>
            </w:r>
          </w:p>
        </w:tc>
        <w:tc>
          <w:tcPr>
            <w:tcW w:w="993"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r>
      <w:tr w:rsidR="00AA0C9C" w:rsidRPr="00883E21" w:rsidTr="0011416E">
        <w:trPr>
          <w:trHeight w:val="20"/>
        </w:trPr>
        <w:tc>
          <w:tcPr>
            <w:tcW w:w="3844" w:type="dxa"/>
            <w:shd w:val="clear" w:color="auto" w:fill="auto"/>
            <w:noWrap/>
            <w:vAlign w:val="center"/>
            <w:hideMark/>
          </w:tcPr>
          <w:p w:rsidR="00AA0C9C" w:rsidRPr="0011416E" w:rsidRDefault="00AA0C9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H</w:t>
            </w:r>
            <w:r w:rsidR="006149F9" w:rsidRPr="0011416E">
              <w:rPr>
                <w:rFonts w:ascii="Garamond" w:eastAsia="Times New Roman" w:hAnsi="Garamond" w:cs="Times New Roman"/>
                <w:b/>
                <w:bCs/>
                <w:sz w:val="20"/>
                <w:szCs w:val="20"/>
                <w:lang w:eastAsia="fr-FR"/>
              </w:rPr>
              <w:t>a</w:t>
            </w:r>
            <w:r w:rsidRPr="0011416E">
              <w:rPr>
                <w:rFonts w:ascii="Garamond" w:eastAsia="Times New Roman" w:hAnsi="Garamond" w:cs="Times New Roman"/>
                <w:b/>
                <w:bCs/>
                <w:sz w:val="20"/>
                <w:szCs w:val="20"/>
                <w:lang w:eastAsia="fr-FR"/>
              </w:rPr>
              <w:t>b</w:t>
            </w:r>
            <w:r w:rsidR="006149F9" w:rsidRPr="0011416E">
              <w:rPr>
                <w:rFonts w:ascii="Garamond" w:eastAsia="Times New Roman" w:hAnsi="Garamond" w:cs="Times New Roman"/>
                <w:b/>
                <w:bCs/>
                <w:sz w:val="20"/>
                <w:szCs w:val="20"/>
                <w:lang w:eastAsia="fr-FR"/>
              </w:rPr>
              <w:t>i</w:t>
            </w:r>
            <w:r w:rsidRPr="0011416E">
              <w:rPr>
                <w:rFonts w:ascii="Garamond" w:eastAsia="Times New Roman" w:hAnsi="Garamond" w:cs="Times New Roman"/>
                <w:b/>
                <w:bCs/>
                <w:sz w:val="20"/>
                <w:szCs w:val="20"/>
                <w:lang w:eastAsia="fr-FR"/>
              </w:rPr>
              <w:t>t</w:t>
            </w:r>
            <w:r w:rsidR="006149F9" w:rsidRPr="0011416E">
              <w:rPr>
                <w:rFonts w:ascii="Garamond" w:eastAsia="Times New Roman" w:hAnsi="Garamond" w:cs="Times New Roman"/>
                <w:b/>
                <w:bCs/>
                <w:sz w:val="20"/>
                <w:szCs w:val="20"/>
                <w:lang w:eastAsia="fr-FR"/>
              </w:rPr>
              <w:t>ant</w:t>
            </w:r>
            <w:r w:rsidRPr="0011416E">
              <w:rPr>
                <w:rFonts w:ascii="Garamond" w:eastAsia="Times New Roman" w:hAnsi="Garamond" w:cs="Times New Roman"/>
                <w:b/>
                <w:bCs/>
                <w:sz w:val="20"/>
                <w:szCs w:val="20"/>
                <w:lang w:eastAsia="fr-FR"/>
              </w:rPr>
              <w:t>s pour un EH</w:t>
            </w:r>
          </w:p>
        </w:tc>
        <w:tc>
          <w:tcPr>
            <w:tcW w:w="992"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4433406</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3354206</w:t>
            </w:r>
          </w:p>
        </w:tc>
        <w:tc>
          <w:tcPr>
            <w:tcW w:w="993"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992"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r>
      <w:tr w:rsidR="00AA0C9C" w:rsidRPr="00883E21" w:rsidTr="0011416E">
        <w:trPr>
          <w:trHeight w:val="20"/>
        </w:trPr>
        <w:tc>
          <w:tcPr>
            <w:tcW w:w="3844" w:type="dxa"/>
            <w:shd w:val="clear" w:color="auto" w:fill="auto"/>
            <w:noWrap/>
            <w:vAlign w:val="center"/>
            <w:hideMark/>
          </w:tcPr>
          <w:p w:rsidR="00AA0C9C" w:rsidRPr="0011416E" w:rsidRDefault="00AA0C9C"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Nombre de lits EH</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410</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439</w:t>
            </w:r>
          </w:p>
        </w:tc>
        <w:tc>
          <w:tcPr>
            <w:tcW w:w="993"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sz w:val="20"/>
                <w:szCs w:val="20"/>
              </w:rPr>
            </w:pPr>
            <w:r w:rsidRPr="00883E21">
              <w:rPr>
                <w:rFonts w:ascii="Garamond" w:hAnsi="Garamond"/>
                <w:sz w:val="20"/>
                <w:szCs w:val="20"/>
              </w:rPr>
              <w:t>0</w:t>
            </w:r>
          </w:p>
        </w:tc>
      </w:tr>
      <w:tr w:rsidR="00AA0C9C" w:rsidRPr="00883E21" w:rsidTr="0011416E">
        <w:trPr>
          <w:trHeight w:val="20"/>
        </w:trPr>
        <w:tc>
          <w:tcPr>
            <w:tcW w:w="3844" w:type="dxa"/>
            <w:shd w:val="clear" w:color="auto" w:fill="auto"/>
            <w:noWrap/>
            <w:vAlign w:val="center"/>
            <w:hideMark/>
          </w:tcPr>
          <w:p w:rsidR="00AA0C9C"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AA0C9C" w:rsidRPr="0011416E">
              <w:rPr>
                <w:rFonts w:ascii="Garamond" w:eastAsia="Times New Roman" w:hAnsi="Garamond" w:cs="Times New Roman"/>
                <w:b/>
                <w:bCs/>
                <w:sz w:val="20"/>
                <w:szCs w:val="20"/>
                <w:lang w:eastAsia="fr-FR"/>
              </w:rPr>
              <w:t>pour un lits EH</w:t>
            </w:r>
          </w:p>
        </w:tc>
        <w:tc>
          <w:tcPr>
            <w:tcW w:w="992"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21626,</w:t>
            </w:r>
            <w:r w:rsidR="0011416E">
              <w:rPr>
                <w:rFonts w:ascii="Garamond" w:hAnsi="Garamond"/>
                <w:color w:val="000000"/>
                <w:sz w:val="20"/>
                <w:szCs w:val="20"/>
              </w:rPr>
              <w:t>4</w:t>
            </w:r>
          </w:p>
        </w:tc>
        <w:tc>
          <w:tcPr>
            <w:tcW w:w="992" w:type="dxa"/>
            <w:shd w:val="clear" w:color="auto" w:fill="auto"/>
            <w:noWrap/>
            <w:vAlign w:val="center"/>
            <w:hideMark/>
          </w:tcPr>
          <w:p w:rsidR="00AA0C9C" w:rsidRPr="00883E21" w:rsidRDefault="00AA0C9C" w:rsidP="0011416E">
            <w:pPr>
              <w:spacing w:after="0" w:line="240" w:lineRule="auto"/>
              <w:jc w:val="right"/>
              <w:rPr>
                <w:rFonts w:ascii="Garamond" w:hAnsi="Garamond"/>
                <w:color w:val="000000"/>
                <w:sz w:val="20"/>
                <w:szCs w:val="20"/>
              </w:rPr>
            </w:pPr>
            <w:r w:rsidRPr="00883E21">
              <w:rPr>
                <w:rFonts w:ascii="Garamond" w:hAnsi="Garamond"/>
                <w:color w:val="000000"/>
                <w:sz w:val="20"/>
                <w:szCs w:val="20"/>
              </w:rPr>
              <w:t>22921,</w:t>
            </w:r>
            <w:r w:rsidR="0011416E">
              <w:rPr>
                <w:rFonts w:ascii="Garamond" w:hAnsi="Garamond"/>
                <w:color w:val="000000"/>
                <w:sz w:val="20"/>
                <w:szCs w:val="20"/>
              </w:rPr>
              <w:t>7</w:t>
            </w:r>
          </w:p>
        </w:tc>
        <w:tc>
          <w:tcPr>
            <w:tcW w:w="993"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c>
          <w:tcPr>
            <w:tcW w:w="992" w:type="dxa"/>
            <w:shd w:val="clear" w:color="auto" w:fill="auto"/>
            <w:noWrap/>
            <w:vAlign w:val="center"/>
            <w:hideMark/>
          </w:tcPr>
          <w:p w:rsidR="00AA0C9C" w:rsidRPr="00883E21" w:rsidRDefault="006149F9"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0</w:t>
            </w:r>
          </w:p>
        </w:tc>
      </w:tr>
      <w:tr w:rsidR="000D14FE" w:rsidRPr="00883E21" w:rsidTr="0011416E">
        <w:trPr>
          <w:trHeight w:val="20"/>
        </w:trPr>
        <w:tc>
          <w:tcPr>
            <w:tcW w:w="3844" w:type="dxa"/>
            <w:shd w:val="clear" w:color="auto" w:fill="auto"/>
            <w:noWrap/>
            <w:vAlign w:val="center"/>
            <w:hideMark/>
          </w:tcPr>
          <w:p w:rsidR="000D14FE" w:rsidRPr="0011416E" w:rsidRDefault="00F20892"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Nombre </w:t>
            </w:r>
            <w:r w:rsidR="001E36B8" w:rsidRPr="0011416E">
              <w:rPr>
                <w:rFonts w:ascii="Garamond" w:eastAsia="Times New Roman" w:hAnsi="Garamond" w:cs="Times New Roman"/>
                <w:b/>
                <w:bCs/>
                <w:sz w:val="20"/>
                <w:szCs w:val="20"/>
                <w:lang w:eastAsia="fr-FR"/>
              </w:rPr>
              <w:t xml:space="preserve"> </w:t>
            </w:r>
            <w:r w:rsidR="000D14FE" w:rsidRPr="0011416E">
              <w:rPr>
                <w:rFonts w:ascii="Garamond" w:eastAsia="Times New Roman" w:hAnsi="Garamond" w:cs="Times New Roman"/>
                <w:b/>
                <w:bCs/>
                <w:sz w:val="20"/>
                <w:szCs w:val="20"/>
                <w:lang w:eastAsia="fr-FR"/>
              </w:rPr>
              <w:t>EHS</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20</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21</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20</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w:t>
            </w:r>
          </w:p>
        </w:tc>
      </w:tr>
      <w:tr w:rsidR="00DE3803" w:rsidRPr="00883E21" w:rsidTr="0011416E">
        <w:trPr>
          <w:trHeight w:val="20"/>
        </w:trPr>
        <w:tc>
          <w:tcPr>
            <w:tcW w:w="3844" w:type="dxa"/>
            <w:shd w:val="clear" w:color="auto" w:fill="auto"/>
            <w:noWrap/>
            <w:vAlign w:val="center"/>
            <w:hideMark/>
          </w:tcPr>
          <w:p w:rsidR="00DE3803"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DE3803" w:rsidRPr="0011416E">
              <w:rPr>
                <w:rFonts w:ascii="Garamond" w:eastAsia="Times New Roman" w:hAnsi="Garamond" w:cs="Times New Roman"/>
                <w:b/>
                <w:bCs/>
                <w:sz w:val="20"/>
                <w:szCs w:val="20"/>
                <w:lang w:eastAsia="fr-FR"/>
              </w:rPr>
              <w:t>pour 1 EHS</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621789,</w:t>
            </w:r>
            <w:r w:rsidR="0011416E">
              <w:rPr>
                <w:rFonts w:ascii="Garamond" w:hAnsi="Garamond"/>
                <w:sz w:val="20"/>
                <w:szCs w:val="20"/>
              </w:rPr>
              <w:t>5</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422229,1</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503130,9</w:t>
            </w:r>
          </w:p>
        </w:tc>
        <w:tc>
          <w:tcPr>
            <w:tcW w:w="993"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3427314</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190306,4</w:t>
            </w:r>
          </w:p>
        </w:tc>
      </w:tr>
      <w:tr w:rsidR="000D14FE" w:rsidRPr="00883E21" w:rsidTr="0011416E">
        <w:trPr>
          <w:trHeight w:val="20"/>
        </w:trPr>
        <w:tc>
          <w:tcPr>
            <w:tcW w:w="3844" w:type="dxa"/>
            <w:shd w:val="clear" w:color="auto" w:fill="auto"/>
            <w:noWrap/>
            <w:vAlign w:val="center"/>
            <w:hideMark/>
          </w:tcPr>
          <w:p w:rsidR="000D14FE" w:rsidRPr="0011416E" w:rsidRDefault="00F20892"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Nombre  </w:t>
            </w:r>
            <w:r w:rsidR="000D14FE" w:rsidRPr="0011416E">
              <w:rPr>
                <w:rFonts w:ascii="Garamond" w:eastAsia="Times New Roman" w:hAnsi="Garamond" w:cs="Times New Roman"/>
                <w:b/>
                <w:bCs/>
                <w:sz w:val="20"/>
                <w:szCs w:val="20"/>
                <w:lang w:eastAsia="fr-FR"/>
              </w:rPr>
              <w:t>lits</w:t>
            </w:r>
            <w:r w:rsidR="001E36B8" w:rsidRPr="0011416E">
              <w:rPr>
                <w:rFonts w:ascii="Garamond" w:eastAsia="Times New Roman" w:hAnsi="Garamond" w:cs="Times New Roman"/>
                <w:b/>
                <w:bCs/>
                <w:sz w:val="20"/>
                <w:szCs w:val="20"/>
                <w:lang w:eastAsia="fr-FR"/>
              </w:rPr>
              <w:t xml:space="preserve"> EHS</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4248</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3018</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2772</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150</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764</w:t>
            </w:r>
          </w:p>
        </w:tc>
      </w:tr>
      <w:tr w:rsidR="00DE3803" w:rsidRPr="00883E21" w:rsidTr="0011416E">
        <w:trPr>
          <w:trHeight w:val="20"/>
        </w:trPr>
        <w:tc>
          <w:tcPr>
            <w:tcW w:w="3844" w:type="dxa"/>
            <w:shd w:val="clear" w:color="auto" w:fill="auto"/>
            <w:noWrap/>
            <w:vAlign w:val="center"/>
            <w:hideMark/>
          </w:tcPr>
          <w:p w:rsidR="00DE3803"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DE3803" w:rsidRPr="0011416E">
              <w:rPr>
                <w:rFonts w:ascii="Garamond" w:eastAsia="Times New Roman" w:hAnsi="Garamond" w:cs="Times New Roman"/>
                <w:b/>
                <w:bCs/>
                <w:sz w:val="20"/>
                <w:szCs w:val="20"/>
                <w:lang w:eastAsia="fr-FR"/>
              </w:rPr>
              <w:t>pour 1 lit EHS</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2927,4</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2937,9</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3630,</w:t>
            </w:r>
            <w:r w:rsidR="0011416E">
              <w:rPr>
                <w:rFonts w:ascii="Garamond" w:hAnsi="Garamond"/>
                <w:sz w:val="20"/>
                <w:szCs w:val="20"/>
              </w:rPr>
              <w:t>1</w:t>
            </w:r>
          </w:p>
        </w:tc>
        <w:tc>
          <w:tcPr>
            <w:tcW w:w="993"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22848,</w:t>
            </w:r>
            <w:r w:rsidR="0011416E">
              <w:rPr>
                <w:rFonts w:ascii="Garamond" w:hAnsi="Garamond"/>
                <w:sz w:val="20"/>
                <w:szCs w:val="20"/>
              </w:rPr>
              <w:t>8</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1743,6</w:t>
            </w:r>
          </w:p>
        </w:tc>
      </w:tr>
      <w:tr w:rsidR="000D14FE" w:rsidRPr="00883E21" w:rsidTr="0011416E">
        <w:trPr>
          <w:trHeight w:val="20"/>
        </w:trPr>
        <w:tc>
          <w:tcPr>
            <w:tcW w:w="3844" w:type="dxa"/>
            <w:shd w:val="clear" w:color="auto" w:fill="auto"/>
            <w:noWrap/>
            <w:vAlign w:val="center"/>
            <w:hideMark/>
          </w:tcPr>
          <w:p w:rsidR="000D14FE" w:rsidRPr="0011416E" w:rsidRDefault="00F20892"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Nombre  </w:t>
            </w:r>
            <w:r w:rsidR="000D14FE" w:rsidRPr="0011416E">
              <w:rPr>
                <w:rFonts w:ascii="Garamond" w:eastAsia="Times New Roman" w:hAnsi="Garamond" w:cs="Times New Roman"/>
                <w:b/>
                <w:bCs/>
                <w:sz w:val="20"/>
                <w:szCs w:val="20"/>
                <w:lang w:eastAsia="fr-FR"/>
              </w:rPr>
              <w:t>EPH</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55</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35</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66</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25</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14</w:t>
            </w:r>
          </w:p>
        </w:tc>
      </w:tr>
      <w:tr w:rsidR="00DE3803" w:rsidRPr="00883E21" w:rsidTr="0011416E">
        <w:trPr>
          <w:trHeight w:val="20"/>
        </w:trPr>
        <w:tc>
          <w:tcPr>
            <w:tcW w:w="3844" w:type="dxa"/>
            <w:shd w:val="clear" w:color="auto" w:fill="auto"/>
            <w:noWrap/>
            <w:vAlign w:val="center"/>
            <w:hideMark/>
          </w:tcPr>
          <w:p w:rsidR="00DE3803"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Habitant pour un EPH</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226105,</w:t>
            </w:r>
            <w:r w:rsidR="0011416E">
              <w:rPr>
                <w:rFonts w:ascii="Garamond" w:hAnsi="Garamond"/>
                <w:sz w:val="20"/>
                <w:szCs w:val="20"/>
              </w:rPr>
              <w:t>3</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253337,</w:t>
            </w:r>
            <w:r w:rsidR="0011416E">
              <w:rPr>
                <w:rFonts w:ascii="Garamond" w:hAnsi="Garamond"/>
                <w:sz w:val="20"/>
                <w:szCs w:val="20"/>
              </w:rPr>
              <w:t>5</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152463,9</w:t>
            </w:r>
          </w:p>
        </w:tc>
        <w:tc>
          <w:tcPr>
            <w:tcW w:w="993"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137092,5</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95153,</w:t>
            </w:r>
            <w:r w:rsidR="0011416E">
              <w:rPr>
                <w:rFonts w:ascii="Garamond" w:hAnsi="Garamond"/>
                <w:sz w:val="20"/>
                <w:szCs w:val="20"/>
              </w:rPr>
              <w:t>2</w:t>
            </w:r>
          </w:p>
        </w:tc>
      </w:tr>
      <w:tr w:rsidR="000D14FE" w:rsidRPr="00883E21" w:rsidTr="0011416E">
        <w:trPr>
          <w:trHeight w:val="20"/>
        </w:trPr>
        <w:tc>
          <w:tcPr>
            <w:tcW w:w="3844" w:type="dxa"/>
            <w:shd w:val="clear" w:color="auto" w:fill="auto"/>
            <w:noWrap/>
            <w:vAlign w:val="center"/>
            <w:hideMark/>
          </w:tcPr>
          <w:p w:rsidR="000D14FE" w:rsidRPr="0011416E" w:rsidRDefault="00F20892"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Nombre  </w:t>
            </w:r>
            <w:r w:rsidR="000D14FE" w:rsidRPr="0011416E">
              <w:rPr>
                <w:rFonts w:ascii="Garamond" w:eastAsia="Times New Roman" w:hAnsi="Garamond" w:cs="Times New Roman"/>
                <w:b/>
                <w:bCs/>
                <w:sz w:val="20"/>
                <w:szCs w:val="20"/>
                <w:lang w:eastAsia="fr-FR"/>
              </w:rPr>
              <w:t>lits</w:t>
            </w:r>
            <w:r w:rsidR="001E36B8" w:rsidRPr="0011416E">
              <w:rPr>
                <w:rFonts w:ascii="Garamond" w:eastAsia="Times New Roman" w:hAnsi="Garamond" w:cs="Times New Roman"/>
                <w:b/>
                <w:bCs/>
                <w:sz w:val="20"/>
                <w:szCs w:val="20"/>
                <w:lang w:eastAsia="fr-FR"/>
              </w:rPr>
              <w:t xml:space="preserve"> EPH</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11234</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7833</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10841</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5911</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2337</w:t>
            </w:r>
          </w:p>
        </w:tc>
      </w:tr>
      <w:tr w:rsidR="00DE3803" w:rsidRPr="00883E21" w:rsidTr="0011416E">
        <w:trPr>
          <w:trHeight w:val="20"/>
        </w:trPr>
        <w:tc>
          <w:tcPr>
            <w:tcW w:w="3844" w:type="dxa"/>
            <w:shd w:val="clear" w:color="auto" w:fill="auto"/>
            <w:noWrap/>
            <w:vAlign w:val="center"/>
            <w:hideMark/>
          </w:tcPr>
          <w:p w:rsidR="00DE3803"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DE3803" w:rsidRPr="0011416E">
              <w:rPr>
                <w:rFonts w:ascii="Garamond" w:eastAsia="Times New Roman" w:hAnsi="Garamond" w:cs="Times New Roman"/>
                <w:b/>
                <w:bCs/>
                <w:sz w:val="20"/>
                <w:szCs w:val="20"/>
                <w:lang w:eastAsia="fr-FR"/>
              </w:rPr>
              <w:t>pour 1 lits EPH</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1106,9</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1131,9</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928,2</w:t>
            </w:r>
          </w:p>
        </w:tc>
        <w:tc>
          <w:tcPr>
            <w:tcW w:w="993"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579,8</w:t>
            </w:r>
          </w:p>
        </w:tc>
        <w:tc>
          <w:tcPr>
            <w:tcW w:w="992" w:type="dxa"/>
            <w:shd w:val="clear" w:color="auto" w:fill="auto"/>
            <w:noWrap/>
            <w:vAlign w:val="center"/>
            <w:hideMark/>
          </w:tcPr>
          <w:p w:rsidR="00DE3803" w:rsidRPr="00883E21" w:rsidRDefault="00DE3803" w:rsidP="0011416E">
            <w:pPr>
              <w:spacing w:after="0" w:line="240" w:lineRule="auto"/>
              <w:jc w:val="right"/>
              <w:rPr>
                <w:rFonts w:ascii="Garamond" w:hAnsi="Garamond"/>
                <w:sz w:val="20"/>
                <w:szCs w:val="20"/>
              </w:rPr>
            </w:pPr>
            <w:r w:rsidRPr="00883E21">
              <w:rPr>
                <w:rFonts w:ascii="Garamond" w:hAnsi="Garamond"/>
                <w:sz w:val="20"/>
                <w:szCs w:val="20"/>
              </w:rPr>
              <w:t>570</w:t>
            </w:r>
          </w:p>
        </w:tc>
      </w:tr>
      <w:tr w:rsidR="000D14FE" w:rsidRPr="00883E21" w:rsidTr="0011416E">
        <w:trPr>
          <w:trHeight w:val="20"/>
        </w:trPr>
        <w:tc>
          <w:tcPr>
            <w:tcW w:w="3844" w:type="dxa"/>
            <w:shd w:val="clear" w:color="auto" w:fill="auto"/>
            <w:noWrap/>
            <w:vAlign w:val="center"/>
            <w:hideMark/>
          </w:tcPr>
          <w:p w:rsidR="000D14FE" w:rsidRPr="0011416E" w:rsidRDefault="00F20892"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Nombre  </w:t>
            </w:r>
            <w:r w:rsidR="000D14FE" w:rsidRPr="0011416E">
              <w:rPr>
                <w:rFonts w:ascii="Garamond" w:eastAsia="Times New Roman" w:hAnsi="Garamond" w:cs="Times New Roman"/>
                <w:b/>
                <w:bCs/>
                <w:sz w:val="20"/>
                <w:szCs w:val="20"/>
                <w:lang w:eastAsia="fr-FR"/>
              </w:rPr>
              <w:t>EPSP</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66</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56</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76</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50</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23</w:t>
            </w:r>
          </w:p>
        </w:tc>
      </w:tr>
      <w:tr w:rsidR="00F20892" w:rsidRPr="00883E21" w:rsidTr="0011416E">
        <w:trPr>
          <w:trHeight w:val="20"/>
        </w:trPr>
        <w:tc>
          <w:tcPr>
            <w:tcW w:w="3844" w:type="dxa"/>
            <w:shd w:val="clear" w:color="auto" w:fill="auto"/>
            <w:noWrap/>
            <w:vAlign w:val="center"/>
            <w:hideMark/>
          </w:tcPr>
          <w:p w:rsidR="00F20892" w:rsidRPr="0011416E" w:rsidRDefault="00F20892"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Nombre polyclinique</w:t>
            </w:r>
          </w:p>
        </w:tc>
        <w:tc>
          <w:tcPr>
            <w:tcW w:w="992"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365</w:t>
            </w:r>
          </w:p>
        </w:tc>
        <w:tc>
          <w:tcPr>
            <w:tcW w:w="992"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258</w:t>
            </w:r>
          </w:p>
        </w:tc>
        <w:tc>
          <w:tcPr>
            <w:tcW w:w="992"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350</w:t>
            </w:r>
          </w:p>
        </w:tc>
        <w:tc>
          <w:tcPr>
            <w:tcW w:w="993"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115</w:t>
            </w:r>
          </w:p>
        </w:tc>
        <w:tc>
          <w:tcPr>
            <w:tcW w:w="992"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43</w:t>
            </w:r>
          </w:p>
        </w:tc>
      </w:tr>
      <w:tr w:rsidR="000D14FE" w:rsidRPr="00883E21" w:rsidTr="0011416E">
        <w:trPr>
          <w:trHeight w:val="20"/>
        </w:trPr>
        <w:tc>
          <w:tcPr>
            <w:tcW w:w="3844" w:type="dxa"/>
            <w:shd w:val="clear" w:color="auto" w:fill="auto"/>
            <w:noWrap/>
            <w:vAlign w:val="center"/>
            <w:hideMark/>
          </w:tcPr>
          <w:p w:rsidR="000D14FE"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1E36B8" w:rsidRPr="0011416E">
              <w:rPr>
                <w:rFonts w:ascii="Garamond" w:eastAsia="Times New Roman" w:hAnsi="Garamond" w:cs="Times New Roman"/>
                <w:b/>
                <w:bCs/>
                <w:sz w:val="20"/>
                <w:szCs w:val="20"/>
                <w:lang w:eastAsia="fr-FR"/>
              </w:rPr>
              <w:t>pour 1</w:t>
            </w:r>
            <w:r w:rsidR="000D14FE" w:rsidRPr="0011416E">
              <w:rPr>
                <w:rFonts w:ascii="Garamond" w:eastAsia="Times New Roman" w:hAnsi="Garamond" w:cs="Times New Roman"/>
                <w:b/>
                <w:bCs/>
                <w:sz w:val="20"/>
                <w:szCs w:val="20"/>
                <w:lang w:eastAsia="fr-FR"/>
              </w:rPr>
              <w:t xml:space="preserve"> polyclinique</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3407</w:t>
            </w:r>
            <w:r w:rsidR="001E36B8" w:rsidRPr="00883E21">
              <w:rPr>
                <w:rFonts w:ascii="Garamond" w:eastAsia="Times New Roman" w:hAnsi="Garamond" w:cs="Times New Roman"/>
                <w:sz w:val="20"/>
                <w:szCs w:val="20"/>
                <w:lang w:eastAsia="fr-FR"/>
              </w:rPr>
              <w:t>0</w:t>
            </w:r>
            <w:r w:rsidRPr="00883E21">
              <w:rPr>
                <w:rFonts w:ascii="Garamond" w:eastAsia="Times New Roman" w:hAnsi="Garamond" w:cs="Times New Roman"/>
                <w:sz w:val="20"/>
                <w:szCs w:val="20"/>
                <w:lang w:eastAsia="fr-FR"/>
              </w:rPr>
              <w:t>.6</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34367.</w:t>
            </w:r>
            <w:r w:rsidR="0011416E">
              <w:rPr>
                <w:rFonts w:ascii="Garamond" w:eastAsia="Times New Roman" w:hAnsi="Garamond" w:cs="Times New Roman"/>
                <w:sz w:val="20"/>
                <w:szCs w:val="20"/>
                <w:lang w:eastAsia="fr-FR"/>
              </w:rPr>
              <w:t>5</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28750.3</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29802.7</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30980.1</w:t>
            </w:r>
          </w:p>
        </w:tc>
      </w:tr>
      <w:tr w:rsidR="00F20892" w:rsidRPr="00883E21" w:rsidTr="0011416E">
        <w:trPr>
          <w:trHeight w:val="20"/>
        </w:trPr>
        <w:tc>
          <w:tcPr>
            <w:tcW w:w="3844" w:type="dxa"/>
            <w:shd w:val="clear" w:color="auto" w:fill="auto"/>
            <w:noWrap/>
            <w:vAlign w:val="center"/>
            <w:hideMark/>
          </w:tcPr>
          <w:p w:rsidR="00F20892" w:rsidRPr="0011416E" w:rsidRDefault="00F20892"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Nombre  lits urgence polyclinique</w:t>
            </w:r>
          </w:p>
        </w:tc>
        <w:tc>
          <w:tcPr>
            <w:tcW w:w="992"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1038</w:t>
            </w:r>
          </w:p>
        </w:tc>
        <w:tc>
          <w:tcPr>
            <w:tcW w:w="992"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662</w:t>
            </w:r>
          </w:p>
        </w:tc>
        <w:tc>
          <w:tcPr>
            <w:tcW w:w="992"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880</w:t>
            </w:r>
          </w:p>
        </w:tc>
        <w:tc>
          <w:tcPr>
            <w:tcW w:w="993"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445</w:t>
            </w:r>
          </w:p>
        </w:tc>
        <w:tc>
          <w:tcPr>
            <w:tcW w:w="992" w:type="dxa"/>
            <w:shd w:val="clear" w:color="auto" w:fill="auto"/>
            <w:noWrap/>
            <w:vAlign w:val="center"/>
            <w:hideMark/>
          </w:tcPr>
          <w:p w:rsidR="00F20892" w:rsidRPr="00883E21" w:rsidRDefault="00F20892"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289</w:t>
            </w:r>
          </w:p>
        </w:tc>
      </w:tr>
      <w:tr w:rsidR="000D14FE" w:rsidRPr="00883E21" w:rsidTr="0011416E">
        <w:trPr>
          <w:trHeight w:val="20"/>
        </w:trPr>
        <w:tc>
          <w:tcPr>
            <w:tcW w:w="3844" w:type="dxa"/>
            <w:shd w:val="clear" w:color="auto" w:fill="auto"/>
            <w:noWrap/>
            <w:vAlign w:val="center"/>
            <w:hideMark/>
          </w:tcPr>
          <w:p w:rsidR="000D14FE"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1E36B8" w:rsidRPr="0011416E">
              <w:rPr>
                <w:rFonts w:ascii="Garamond" w:eastAsia="Times New Roman" w:hAnsi="Garamond" w:cs="Times New Roman"/>
                <w:b/>
                <w:bCs/>
                <w:sz w:val="20"/>
                <w:szCs w:val="20"/>
                <w:lang w:eastAsia="fr-FR"/>
              </w:rPr>
              <w:t xml:space="preserve">pour 1 </w:t>
            </w:r>
            <w:r w:rsidR="0011416E" w:rsidRPr="0011416E">
              <w:rPr>
                <w:rFonts w:ascii="Garamond" w:eastAsia="Times New Roman" w:hAnsi="Garamond" w:cs="Times New Roman"/>
                <w:b/>
                <w:bCs/>
                <w:sz w:val="20"/>
                <w:szCs w:val="20"/>
                <w:lang w:eastAsia="fr-FR"/>
              </w:rPr>
              <w:t>lit</w:t>
            </w:r>
            <w:r w:rsidR="000D14FE" w:rsidRPr="0011416E">
              <w:rPr>
                <w:rFonts w:ascii="Garamond" w:eastAsia="Times New Roman" w:hAnsi="Garamond" w:cs="Times New Roman"/>
                <w:b/>
                <w:bCs/>
                <w:sz w:val="20"/>
                <w:szCs w:val="20"/>
                <w:lang w:eastAsia="fr-FR"/>
              </w:rPr>
              <w:t xml:space="preserve"> urgence polyclinique</w:t>
            </w:r>
          </w:p>
        </w:tc>
        <w:tc>
          <w:tcPr>
            <w:tcW w:w="992" w:type="dxa"/>
            <w:shd w:val="clear" w:color="auto" w:fill="auto"/>
            <w:noWrap/>
            <w:vAlign w:val="center"/>
            <w:hideMark/>
          </w:tcPr>
          <w:p w:rsidR="000D14FE" w:rsidRPr="00883E21" w:rsidRDefault="0011416E" w:rsidP="0011416E">
            <w:pPr>
              <w:spacing w:after="0" w:line="240" w:lineRule="auto"/>
              <w:jc w:val="right"/>
              <w:rPr>
                <w:rFonts w:ascii="Garamond" w:eastAsia="Times New Roman" w:hAnsi="Garamond" w:cs="Times New Roman"/>
                <w:sz w:val="20"/>
                <w:szCs w:val="20"/>
                <w:lang w:eastAsia="fr-FR"/>
              </w:rPr>
            </w:pPr>
            <w:r>
              <w:rPr>
                <w:rFonts w:ascii="Garamond" w:eastAsia="Times New Roman" w:hAnsi="Garamond" w:cs="Times New Roman"/>
                <w:sz w:val="20"/>
                <w:szCs w:val="20"/>
                <w:lang w:eastAsia="fr-FR"/>
              </w:rPr>
              <w:t>11980,</w:t>
            </w:r>
            <w:r w:rsidR="000D14FE" w:rsidRPr="00883E21">
              <w:rPr>
                <w:rFonts w:ascii="Garamond" w:eastAsia="Times New Roman" w:hAnsi="Garamond" w:cs="Times New Roman"/>
                <w:sz w:val="20"/>
                <w:szCs w:val="20"/>
                <w:lang w:eastAsia="fr-FR"/>
              </w:rPr>
              <w:t>5</w:t>
            </w:r>
          </w:p>
        </w:tc>
        <w:tc>
          <w:tcPr>
            <w:tcW w:w="992" w:type="dxa"/>
            <w:shd w:val="clear" w:color="auto" w:fill="auto"/>
            <w:noWrap/>
            <w:vAlign w:val="center"/>
            <w:hideMark/>
          </w:tcPr>
          <w:p w:rsidR="000D14FE" w:rsidRPr="00883E21" w:rsidRDefault="0011416E" w:rsidP="0011416E">
            <w:pPr>
              <w:spacing w:after="0" w:line="240" w:lineRule="auto"/>
              <w:jc w:val="right"/>
              <w:rPr>
                <w:rFonts w:ascii="Garamond" w:eastAsia="Times New Roman" w:hAnsi="Garamond" w:cs="Times New Roman"/>
                <w:sz w:val="20"/>
                <w:szCs w:val="20"/>
                <w:lang w:eastAsia="fr-FR"/>
              </w:rPr>
            </w:pPr>
            <w:r>
              <w:rPr>
                <w:rFonts w:ascii="Garamond" w:eastAsia="Times New Roman" w:hAnsi="Garamond" w:cs="Times New Roman"/>
                <w:sz w:val="20"/>
                <w:szCs w:val="20"/>
                <w:lang w:eastAsia="fr-FR"/>
              </w:rPr>
              <w:t>13393,</w:t>
            </w:r>
            <w:r w:rsidR="000D14FE" w:rsidRPr="00883E21">
              <w:rPr>
                <w:rFonts w:ascii="Garamond" w:eastAsia="Times New Roman" w:hAnsi="Garamond" w:cs="Times New Roman"/>
                <w:sz w:val="20"/>
                <w:szCs w:val="20"/>
                <w:lang w:eastAsia="fr-FR"/>
              </w:rPr>
              <w:t>9</w:t>
            </w:r>
          </w:p>
        </w:tc>
        <w:tc>
          <w:tcPr>
            <w:tcW w:w="992" w:type="dxa"/>
            <w:shd w:val="clear" w:color="auto" w:fill="auto"/>
            <w:noWrap/>
            <w:vAlign w:val="center"/>
            <w:hideMark/>
          </w:tcPr>
          <w:p w:rsidR="000D14FE" w:rsidRPr="00883E21" w:rsidRDefault="0011416E" w:rsidP="0011416E">
            <w:pPr>
              <w:spacing w:after="0" w:line="240" w:lineRule="auto"/>
              <w:jc w:val="right"/>
              <w:rPr>
                <w:rFonts w:ascii="Garamond" w:eastAsia="Times New Roman" w:hAnsi="Garamond" w:cs="Times New Roman"/>
                <w:sz w:val="20"/>
                <w:szCs w:val="20"/>
                <w:lang w:eastAsia="fr-FR"/>
              </w:rPr>
            </w:pPr>
            <w:r>
              <w:rPr>
                <w:rFonts w:ascii="Garamond" w:eastAsia="Times New Roman" w:hAnsi="Garamond" w:cs="Times New Roman"/>
                <w:sz w:val="20"/>
                <w:szCs w:val="20"/>
                <w:lang w:eastAsia="fr-FR"/>
              </w:rPr>
              <w:t>11434,8</w:t>
            </w:r>
          </w:p>
        </w:tc>
        <w:tc>
          <w:tcPr>
            <w:tcW w:w="993" w:type="dxa"/>
            <w:shd w:val="clear" w:color="auto" w:fill="auto"/>
            <w:noWrap/>
            <w:vAlign w:val="center"/>
            <w:hideMark/>
          </w:tcPr>
          <w:p w:rsidR="000D14FE" w:rsidRPr="00883E21" w:rsidRDefault="0011416E" w:rsidP="0011416E">
            <w:pPr>
              <w:spacing w:after="0" w:line="240" w:lineRule="auto"/>
              <w:jc w:val="right"/>
              <w:rPr>
                <w:rFonts w:ascii="Garamond" w:eastAsia="Times New Roman" w:hAnsi="Garamond" w:cs="Times New Roman"/>
                <w:sz w:val="20"/>
                <w:szCs w:val="20"/>
                <w:lang w:eastAsia="fr-FR"/>
              </w:rPr>
            </w:pPr>
            <w:r>
              <w:rPr>
                <w:rFonts w:ascii="Garamond" w:eastAsia="Times New Roman" w:hAnsi="Garamond" w:cs="Times New Roman"/>
                <w:sz w:val="20"/>
                <w:szCs w:val="20"/>
                <w:lang w:eastAsia="fr-FR"/>
              </w:rPr>
              <w:t>7701,</w:t>
            </w:r>
            <w:r w:rsidR="001E36B8" w:rsidRPr="00883E21">
              <w:rPr>
                <w:rFonts w:ascii="Garamond" w:eastAsia="Times New Roman" w:hAnsi="Garamond" w:cs="Times New Roman"/>
                <w:sz w:val="20"/>
                <w:szCs w:val="20"/>
                <w:lang w:eastAsia="fr-FR"/>
              </w:rPr>
              <w:t>8</w:t>
            </w:r>
          </w:p>
        </w:tc>
        <w:tc>
          <w:tcPr>
            <w:tcW w:w="992" w:type="dxa"/>
            <w:shd w:val="clear" w:color="auto" w:fill="auto"/>
            <w:noWrap/>
            <w:vAlign w:val="center"/>
            <w:hideMark/>
          </w:tcPr>
          <w:p w:rsidR="000D14FE" w:rsidRPr="00883E21" w:rsidRDefault="001E36B8"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4609.5</w:t>
            </w:r>
          </w:p>
        </w:tc>
      </w:tr>
      <w:tr w:rsidR="000D14FE" w:rsidRPr="00883E21" w:rsidTr="0011416E">
        <w:trPr>
          <w:trHeight w:val="20"/>
        </w:trPr>
        <w:tc>
          <w:tcPr>
            <w:tcW w:w="3844" w:type="dxa"/>
            <w:shd w:val="clear" w:color="auto" w:fill="auto"/>
            <w:noWrap/>
            <w:vAlign w:val="center"/>
            <w:hideMark/>
          </w:tcPr>
          <w:p w:rsidR="000D14FE" w:rsidRPr="0011416E" w:rsidRDefault="00F62A23"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Nombre  maternité</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105</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110</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110</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46</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38</w:t>
            </w:r>
          </w:p>
        </w:tc>
      </w:tr>
      <w:tr w:rsidR="00F62A23" w:rsidRPr="00883E21" w:rsidTr="0011416E">
        <w:trPr>
          <w:trHeight w:val="20"/>
        </w:trPr>
        <w:tc>
          <w:tcPr>
            <w:tcW w:w="3844" w:type="dxa"/>
            <w:shd w:val="clear" w:color="auto" w:fill="auto"/>
            <w:noWrap/>
            <w:vAlign w:val="center"/>
            <w:hideMark/>
          </w:tcPr>
          <w:p w:rsidR="00F62A23"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F62A23" w:rsidRPr="0011416E">
              <w:rPr>
                <w:rFonts w:ascii="Garamond" w:eastAsia="Times New Roman" w:hAnsi="Garamond" w:cs="Times New Roman"/>
                <w:b/>
                <w:bCs/>
                <w:sz w:val="20"/>
                <w:szCs w:val="20"/>
                <w:lang w:eastAsia="fr-FR"/>
              </w:rPr>
              <w:t>pour 1 maternité</w:t>
            </w:r>
          </w:p>
        </w:tc>
        <w:tc>
          <w:tcPr>
            <w:tcW w:w="992"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118436,</w:t>
            </w:r>
            <w:r w:rsidR="0011416E">
              <w:rPr>
                <w:rFonts w:ascii="Garamond" w:hAnsi="Garamond" w:cstheme="majorBidi"/>
                <w:sz w:val="20"/>
                <w:szCs w:val="20"/>
              </w:rPr>
              <w:t>1</w:t>
            </w:r>
          </w:p>
        </w:tc>
        <w:tc>
          <w:tcPr>
            <w:tcW w:w="992"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80607,</w:t>
            </w:r>
            <w:r w:rsidR="0011416E">
              <w:rPr>
                <w:rFonts w:ascii="Garamond" w:hAnsi="Garamond" w:cstheme="majorBidi"/>
                <w:sz w:val="20"/>
                <w:szCs w:val="20"/>
              </w:rPr>
              <w:t>4</w:t>
            </w:r>
          </w:p>
        </w:tc>
        <w:tc>
          <w:tcPr>
            <w:tcW w:w="992"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91478,3</w:t>
            </w:r>
          </w:p>
        </w:tc>
        <w:tc>
          <w:tcPr>
            <w:tcW w:w="993"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74506,8</w:t>
            </w:r>
          </w:p>
        </w:tc>
        <w:tc>
          <w:tcPr>
            <w:tcW w:w="992"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35056,4</w:t>
            </w:r>
          </w:p>
        </w:tc>
      </w:tr>
      <w:tr w:rsidR="000D14FE" w:rsidRPr="00883E21" w:rsidTr="0011416E">
        <w:trPr>
          <w:trHeight w:val="20"/>
        </w:trPr>
        <w:tc>
          <w:tcPr>
            <w:tcW w:w="3844" w:type="dxa"/>
            <w:shd w:val="clear" w:color="auto" w:fill="auto"/>
            <w:noWrap/>
            <w:vAlign w:val="center"/>
            <w:hideMark/>
          </w:tcPr>
          <w:p w:rsidR="000D14FE" w:rsidRPr="0011416E" w:rsidRDefault="00F62A23"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Nombre  </w:t>
            </w:r>
            <w:r w:rsidR="00CF17FE" w:rsidRPr="0011416E">
              <w:rPr>
                <w:rFonts w:ascii="Garamond" w:eastAsia="Times New Roman" w:hAnsi="Garamond" w:cs="Times New Roman"/>
                <w:b/>
                <w:bCs/>
                <w:sz w:val="20"/>
                <w:szCs w:val="20"/>
                <w:lang w:eastAsia="fr-FR"/>
              </w:rPr>
              <w:t>lits mate</w:t>
            </w:r>
            <w:r w:rsidR="000D14FE" w:rsidRPr="0011416E">
              <w:rPr>
                <w:rFonts w:ascii="Garamond" w:eastAsia="Times New Roman" w:hAnsi="Garamond" w:cs="Times New Roman"/>
                <w:b/>
                <w:bCs/>
                <w:sz w:val="20"/>
                <w:szCs w:val="20"/>
                <w:lang w:eastAsia="fr-FR"/>
              </w:rPr>
              <w:t>rnité</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800</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885</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842</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278</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191</w:t>
            </w:r>
          </w:p>
        </w:tc>
      </w:tr>
      <w:tr w:rsidR="00F62A23" w:rsidRPr="00883E21" w:rsidTr="0011416E">
        <w:trPr>
          <w:trHeight w:val="20"/>
        </w:trPr>
        <w:tc>
          <w:tcPr>
            <w:tcW w:w="3844" w:type="dxa"/>
            <w:shd w:val="clear" w:color="auto" w:fill="auto"/>
            <w:noWrap/>
            <w:vAlign w:val="center"/>
            <w:hideMark/>
          </w:tcPr>
          <w:p w:rsidR="00F62A23"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F62A23" w:rsidRPr="0011416E">
              <w:rPr>
                <w:rFonts w:ascii="Garamond" w:eastAsia="Times New Roman" w:hAnsi="Garamond" w:cs="Times New Roman"/>
                <w:b/>
                <w:bCs/>
                <w:sz w:val="20"/>
                <w:szCs w:val="20"/>
                <w:lang w:eastAsia="fr-FR"/>
              </w:rPr>
              <w:t>pour lits 1 maternité</w:t>
            </w:r>
          </w:p>
        </w:tc>
        <w:tc>
          <w:tcPr>
            <w:tcW w:w="992"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15544,7</w:t>
            </w:r>
          </w:p>
        </w:tc>
        <w:tc>
          <w:tcPr>
            <w:tcW w:w="992"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10018,9</w:t>
            </w:r>
          </w:p>
        </w:tc>
        <w:tc>
          <w:tcPr>
            <w:tcW w:w="992"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11950,8</w:t>
            </w:r>
          </w:p>
        </w:tc>
        <w:tc>
          <w:tcPr>
            <w:tcW w:w="993"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12328,</w:t>
            </w:r>
            <w:r w:rsidR="0011416E">
              <w:rPr>
                <w:rFonts w:ascii="Garamond" w:hAnsi="Garamond" w:cstheme="majorBidi"/>
                <w:sz w:val="20"/>
                <w:szCs w:val="20"/>
              </w:rPr>
              <w:t>5</w:t>
            </w:r>
          </w:p>
        </w:tc>
        <w:tc>
          <w:tcPr>
            <w:tcW w:w="992" w:type="dxa"/>
            <w:shd w:val="clear" w:color="auto" w:fill="auto"/>
            <w:noWrap/>
            <w:vAlign w:val="center"/>
            <w:hideMark/>
          </w:tcPr>
          <w:p w:rsidR="00F62A23"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6974,</w:t>
            </w:r>
            <w:r w:rsidR="0011416E">
              <w:rPr>
                <w:rFonts w:ascii="Garamond" w:hAnsi="Garamond" w:cstheme="majorBidi"/>
                <w:sz w:val="20"/>
                <w:szCs w:val="20"/>
              </w:rPr>
              <w:t>6</w:t>
            </w:r>
          </w:p>
        </w:tc>
      </w:tr>
      <w:tr w:rsidR="000D14FE" w:rsidRPr="00883E21" w:rsidTr="0011416E">
        <w:trPr>
          <w:trHeight w:val="20"/>
        </w:trPr>
        <w:tc>
          <w:tcPr>
            <w:tcW w:w="3844" w:type="dxa"/>
            <w:shd w:val="clear" w:color="auto" w:fill="auto"/>
            <w:noWrap/>
            <w:vAlign w:val="center"/>
            <w:hideMark/>
          </w:tcPr>
          <w:p w:rsidR="000D14FE"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Nombre </w:t>
            </w:r>
            <w:r w:rsidR="000D14FE" w:rsidRPr="0011416E">
              <w:rPr>
                <w:rFonts w:ascii="Garamond" w:eastAsia="Times New Roman" w:hAnsi="Garamond" w:cs="Times New Roman"/>
                <w:b/>
                <w:bCs/>
                <w:sz w:val="20"/>
                <w:szCs w:val="20"/>
                <w:lang w:eastAsia="fr-FR"/>
              </w:rPr>
              <w:t>salles de soins</w:t>
            </w:r>
          </w:p>
        </w:tc>
        <w:tc>
          <w:tcPr>
            <w:tcW w:w="992" w:type="dxa"/>
            <w:shd w:val="clear" w:color="auto" w:fill="auto"/>
            <w:noWrap/>
            <w:vAlign w:val="center"/>
            <w:hideMark/>
          </w:tcPr>
          <w:p w:rsidR="000D14FE" w:rsidRPr="00883E21" w:rsidRDefault="00F62A23"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1483</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1422</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1751</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538</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351</w:t>
            </w:r>
          </w:p>
        </w:tc>
      </w:tr>
      <w:tr w:rsidR="00F62A23" w:rsidRPr="00883E21" w:rsidTr="0011416E">
        <w:trPr>
          <w:trHeight w:val="20"/>
        </w:trPr>
        <w:tc>
          <w:tcPr>
            <w:tcW w:w="3844" w:type="dxa"/>
            <w:shd w:val="clear" w:color="auto" w:fill="auto"/>
            <w:noWrap/>
            <w:vAlign w:val="center"/>
            <w:hideMark/>
          </w:tcPr>
          <w:p w:rsidR="00F62A23"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F62A23" w:rsidRPr="0011416E">
              <w:rPr>
                <w:rFonts w:ascii="Garamond" w:eastAsia="Times New Roman" w:hAnsi="Garamond" w:cs="Times New Roman"/>
                <w:b/>
                <w:bCs/>
                <w:sz w:val="20"/>
                <w:szCs w:val="20"/>
                <w:lang w:eastAsia="fr-FR"/>
              </w:rPr>
              <w:t>pour 1 une salle de soins</w:t>
            </w:r>
          </w:p>
        </w:tc>
        <w:tc>
          <w:tcPr>
            <w:tcW w:w="992" w:type="dxa"/>
            <w:shd w:val="clear" w:color="auto" w:fill="auto"/>
            <w:noWrap/>
            <w:vAlign w:val="center"/>
            <w:hideMark/>
          </w:tcPr>
          <w:p w:rsidR="00F62A23"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8385,</w:t>
            </w:r>
            <w:r w:rsidR="0011416E">
              <w:rPr>
                <w:rFonts w:ascii="Garamond" w:hAnsi="Garamond" w:cstheme="majorBidi"/>
                <w:sz w:val="20"/>
                <w:szCs w:val="20"/>
              </w:rPr>
              <w:t>6</w:t>
            </w:r>
          </w:p>
        </w:tc>
        <w:tc>
          <w:tcPr>
            <w:tcW w:w="992" w:type="dxa"/>
            <w:shd w:val="clear" w:color="auto" w:fill="auto"/>
            <w:noWrap/>
            <w:vAlign w:val="center"/>
            <w:hideMark/>
          </w:tcPr>
          <w:p w:rsidR="00F62A23"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6235,4</w:t>
            </w:r>
          </w:p>
        </w:tc>
        <w:tc>
          <w:tcPr>
            <w:tcW w:w="992" w:type="dxa"/>
            <w:shd w:val="clear" w:color="auto" w:fill="auto"/>
            <w:noWrap/>
            <w:vAlign w:val="center"/>
            <w:hideMark/>
          </w:tcPr>
          <w:p w:rsidR="00F62A23"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5746,</w:t>
            </w:r>
            <w:r w:rsidR="0011416E">
              <w:rPr>
                <w:rFonts w:ascii="Garamond" w:hAnsi="Garamond" w:cstheme="majorBidi"/>
                <w:sz w:val="20"/>
                <w:szCs w:val="20"/>
              </w:rPr>
              <w:t>8</w:t>
            </w:r>
          </w:p>
        </w:tc>
        <w:tc>
          <w:tcPr>
            <w:tcW w:w="993" w:type="dxa"/>
            <w:shd w:val="clear" w:color="auto" w:fill="auto"/>
            <w:noWrap/>
            <w:vAlign w:val="center"/>
            <w:hideMark/>
          </w:tcPr>
          <w:p w:rsidR="00F62A23"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6370,</w:t>
            </w:r>
            <w:r w:rsidR="0011416E">
              <w:rPr>
                <w:rFonts w:ascii="Garamond" w:hAnsi="Garamond" w:cstheme="majorBidi"/>
                <w:sz w:val="20"/>
                <w:szCs w:val="20"/>
              </w:rPr>
              <w:t>5</w:t>
            </w:r>
          </w:p>
        </w:tc>
        <w:tc>
          <w:tcPr>
            <w:tcW w:w="992" w:type="dxa"/>
            <w:shd w:val="clear" w:color="auto" w:fill="auto"/>
            <w:noWrap/>
            <w:vAlign w:val="center"/>
            <w:hideMark/>
          </w:tcPr>
          <w:p w:rsidR="00F62A23"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3795,</w:t>
            </w:r>
            <w:r w:rsidR="0011416E">
              <w:rPr>
                <w:rFonts w:ascii="Garamond" w:hAnsi="Garamond" w:cstheme="majorBidi"/>
                <w:sz w:val="20"/>
                <w:szCs w:val="20"/>
              </w:rPr>
              <w:t>3</w:t>
            </w:r>
          </w:p>
        </w:tc>
      </w:tr>
      <w:tr w:rsidR="000D14FE" w:rsidRPr="00883E21" w:rsidTr="0011416E">
        <w:trPr>
          <w:trHeight w:val="20"/>
        </w:trPr>
        <w:tc>
          <w:tcPr>
            <w:tcW w:w="3844" w:type="dxa"/>
            <w:shd w:val="clear" w:color="auto" w:fill="auto"/>
            <w:noWrap/>
            <w:vAlign w:val="center"/>
            <w:hideMark/>
          </w:tcPr>
          <w:p w:rsidR="000D14FE" w:rsidRPr="0011416E" w:rsidRDefault="00206ED7"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Nombre </w:t>
            </w:r>
            <w:r w:rsidR="000D14FE" w:rsidRPr="0011416E">
              <w:rPr>
                <w:rFonts w:ascii="Garamond" w:eastAsia="Times New Roman" w:hAnsi="Garamond" w:cs="Times New Roman"/>
                <w:b/>
                <w:bCs/>
                <w:sz w:val="20"/>
                <w:szCs w:val="20"/>
                <w:lang w:eastAsia="fr-FR"/>
              </w:rPr>
              <w:t>Cabinets médicaux privés</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8470</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3904</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5522</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978</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240</w:t>
            </w:r>
          </w:p>
        </w:tc>
      </w:tr>
      <w:tr w:rsidR="00206ED7" w:rsidRPr="00883E21" w:rsidTr="0011416E">
        <w:trPr>
          <w:trHeight w:val="20"/>
        </w:trPr>
        <w:tc>
          <w:tcPr>
            <w:tcW w:w="3844" w:type="dxa"/>
            <w:shd w:val="clear" w:color="auto" w:fill="auto"/>
            <w:noWrap/>
            <w:vAlign w:val="center"/>
            <w:hideMark/>
          </w:tcPr>
          <w:p w:rsidR="00206ED7"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206ED7" w:rsidRPr="0011416E">
              <w:rPr>
                <w:rFonts w:ascii="Garamond" w:eastAsia="Times New Roman" w:hAnsi="Garamond" w:cs="Times New Roman"/>
                <w:b/>
                <w:bCs/>
                <w:sz w:val="20"/>
                <w:szCs w:val="20"/>
                <w:lang w:eastAsia="fr-FR"/>
              </w:rPr>
              <w:t>pour a cabinets privés</w:t>
            </w:r>
          </w:p>
        </w:tc>
        <w:tc>
          <w:tcPr>
            <w:tcW w:w="992"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1468,2</w:t>
            </w:r>
          </w:p>
        </w:tc>
        <w:tc>
          <w:tcPr>
            <w:tcW w:w="992"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2271,2</w:t>
            </w:r>
          </w:p>
        </w:tc>
        <w:tc>
          <w:tcPr>
            <w:tcW w:w="992"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1822,</w:t>
            </w:r>
            <w:r w:rsidR="0011416E">
              <w:rPr>
                <w:rFonts w:ascii="Garamond" w:hAnsi="Garamond" w:cstheme="majorBidi"/>
                <w:sz w:val="20"/>
                <w:szCs w:val="20"/>
              </w:rPr>
              <w:t>3</w:t>
            </w:r>
          </w:p>
        </w:tc>
        <w:tc>
          <w:tcPr>
            <w:tcW w:w="993"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3504,4</w:t>
            </w:r>
          </w:p>
        </w:tc>
        <w:tc>
          <w:tcPr>
            <w:tcW w:w="992"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5550,6</w:t>
            </w:r>
          </w:p>
        </w:tc>
      </w:tr>
      <w:tr w:rsidR="000D14FE" w:rsidRPr="00883E21" w:rsidTr="0011416E">
        <w:trPr>
          <w:trHeight w:val="20"/>
        </w:trPr>
        <w:tc>
          <w:tcPr>
            <w:tcW w:w="3844" w:type="dxa"/>
            <w:shd w:val="clear" w:color="auto" w:fill="auto"/>
            <w:noWrap/>
            <w:vAlign w:val="center"/>
            <w:hideMark/>
          </w:tcPr>
          <w:p w:rsidR="000D14FE"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Nombre </w:t>
            </w:r>
            <w:r w:rsidR="000D14FE" w:rsidRPr="0011416E">
              <w:rPr>
                <w:rFonts w:ascii="Garamond" w:eastAsia="Times New Roman" w:hAnsi="Garamond" w:cs="Times New Roman"/>
                <w:b/>
                <w:bCs/>
                <w:sz w:val="20"/>
                <w:szCs w:val="20"/>
                <w:lang w:eastAsia="fr-FR"/>
              </w:rPr>
              <w:t>Cliniques privées</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181</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78</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117</w:t>
            </w:r>
          </w:p>
        </w:tc>
        <w:tc>
          <w:tcPr>
            <w:tcW w:w="993"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20</w:t>
            </w:r>
          </w:p>
        </w:tc>
        <w:tc>
          <w:tcPr>
            <w:tcW w:w="992" w:type="dxa"/>
            <w:shd w:val="clear" w:color="auto" w:fill="auto"/>
            <w:noWrap/>
            <w:vAlign w:val="center"/>
            <w:hideMark/>
          </w:tcPr>
          <w:p w:rsidR="000D14FE" w:rsidRPr="00883E21" w:rsidRDefault="000D14FE" w:rsidP="0011416E">
            <w:pPr>
              <w:spacing w:after="0" w:line="240" w:lineRule="auto"/>
              <w:jc w:val="right"/>
              <w:rPr>
                <w:rFonts w:ascii="Garamond" w:eastAsia="Times New Roman" w:hAnsi="Garamond" w:cs="Times New Roman"/>
                <w:sz w:val="20"/>
                <w:szCs w:val="20"/>
                <w:lang w:eastAsia="fr-FR"/>
              </w:rPr>
            </w:pPr>
            <w:r w:rsidRPr="00883E21">
              <w:rPr>
                <w:rFonts w:ascii="Garamond" w:eastAsia="Times New Roman" w:hAnsi="Garamond" w:cs="Times New Roman"/>
                <w:sz w:val="20"/>
                <w:szCs w:val="20"/>
                <w:lang w:eastAsia="fr-FR"/>
              </w:rPr>
              <w:t>2</w:t>
            </w:r>
          </w:p>
        </w:tc>
      </w:tr>
      <w:tr w:rsidR="00206ED7" w:rsidRPr="00883E21" w:rsidTr="0011416E">
        <w:trPr>
          <w:trHeight w:val="20"/>
        </w:trPr>
        <w:tc>
          <w:tcPr>
            <w:tcW w:w="3844" w:type="dxa"/>
            <w:shd w:val="clear" w:color="auto" w:fill="auto"/>
            <w:noWrap/>
            <w:vAlign w:val="center"/>
            <w:hideMark/>
          </w:tcPr>
          <w:p w:rsidR="00206ED7" w:rsidRPr="0011416E" w:rsidRDefault="006149F9" w:rsidP="00883E21">
            <w:pPr>
              <w:spacing w:after="0" w:line="240" w:lineRule="auto"/>
              <w:jc w:val="both"/>
              <w:rPr>
                <w:rFonts w:ascii="Garamond" w:eastAsia="Times New Roman" w:hAnsi="Garamond" w:cs="Times New Roman"/>
                <w:b/>
                <w:bCs/>
                <w:sz w:val="20"/>
                <w:szCs w:val="20"/>
                <w:lang w:eastAsia="fr-FR"/>
              </w:rPr>
            </w:pPr>
            <w:r w:rsidRPr="0011416E">
              <w:rPr>
                <w:rFonts w:ascii="Garamond" w:eastAsia="Times New Roman" w:hAnsi="Garamond" w:cs="Times New Roman"/>
                <w:b/>
                <w:bCs/>
                <w:sz w:val="20"/>
                <w:szCs w:val="20"/>
                <w:lang w:eastAsia="fr-FR"/>
              </w:rPr>
              <w:t xml:space="preserve">Habitants </w:t>
            </w:r>
            <w:r w:rsidR="00206ED7" w:rsidRPr="0011416E">
              <w:rPr>
                <w:rFonts w:ascii="Garamond" w:eastAsia="Times New Roman" w:hAnsi="Garamond" w:cs="Times New Roman"/>
                <w:b/>
                <w:bCs/>
                <w:sz w:val="20"/>
                <w:szCs w:val="20"/>
                <w:lang w:eastAsia="fr-FR"/>
              </w:rPr>
              <w:t>pour 1 clinique privée</w:t>
            </w:r>
          </w:p>
        </w:tc>
        <w:tc>
          <w:tcPr>
            <w:tcW w:w="992"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68706</w:t>
            </w:r>
          </w:p>
        </w:tc>
        <w:tc>
          <w:tcPr>
            <w:tcW w:w="992"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113677,</w:t>
            </w:r>
            <w:r w:rsidR="0011416E">
              <w:rPr>
                <w:rFonts w:ascii="Garamond" w:hAnsi="Garamond" w:cstheme="majorBidi"/>
                <w:sz w:val="20"/>
                <w:szCs w:val="20"/>
              </w:rPr>
              <w:t>1</w:t>
            </w:r>
          </w:p>
        </w:tc>
        <w:tc>
          <w:tcPr>
            <w:tcW w:w="992"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86005,</w:t>
            </w:r>
            <w:r w:rsidR="0011416E">
              <w:rPr>
                <w:rFonts w:ascii="Garamond" w:hAnsi="Garamond" w:cstheme="majorBidi"/>
                <w:sz w:val="20"/>
                <w:szCs w:val="20"/>
              </w:rPr>
              <w:t>3</w:t>
            </w:r>
          </w:p>
        </w:tc>
        <w:tc>
          <w:tcPr>
            <w:tcW w:w="993"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171365,7</w:t>
            </w:r>
          </w:p>
        </w:tc>
        <w:tc>
          <w:tcPr>
            <w:tcW w:w="992" w:type="dxa"/>
            <w:shd w:val="clear" w:color="auto" w:fill="auto"/>
            <w:noWrap/>
            <w:vAlign w:val="center"/>
            <w:hideMark/>
          </w:tcPr>
          <w:p w:rsidR="00206ED7" w:rsidRPr="00883E21" w:rsidRDefault="00206ED7" w:rsidP="0011416E">
            <w:pPr>
              <w:spacing w:after="0" w:line="240" w:lineRule="auto"/>
              <w:jc w:val="right"/>
              <w:rPr>
                <w:rFonts w:ascii="Garamond" w:eastAsia="Times New Roman" w:hAnsi="Garamond" w:cs="Times New Roman"/>
                <w:sz w:val="20"/>
                <w:szCs w:val="20"/>
                <w:lang w:eastAsia="fr-FR"/>
              </w:rPr>
            </w:pPr>
            <w:r w:rsidRPr="00883E21">
              <w:rPr>
                <w:rFonts w:ascii="Garamond" w:hAnsi="Garamond" w:cstheme="majorBidi"/>
                <w:sz w:val="20"/>
                <w:szCs w:val="20"/>
              </w:rPr>
              <w:t>666072,5</w:t>
            </w:r>
          </w:p>
        </w:tc>
      </w:tr>
    </w:tbl>
    <w:p w:rsidR="00814843" w:rsidRPr="00B44991" w:rsidRDefault="00814843" w:rsidP="00883E21">
      <w:pPr>
        <w:spacing w:after="0" w:line="240" w:lineRule="auto"/>
        <w:jc w:val="both"/>
        <w:rPr>
          <w:rFonts w:asciiTheme="minorBidi" w:hAnsiTheme="minorBidi"/>
          <w:i/>
          <w:iCs/>
          <w:sz w:val="16"/>
          <w:szCs w:val="16"/>
        </w:rPr>
      </w:pPr>
      <w:r w:rsidRPr="00B44991">
        <w:rPr>
          <w:rFonts w:asciiTheme="minorBidi" w:hAnsiTheme="minorBidi"/>
          <w:i/>
          <w:iCs/>
          <w:sz w:val="16"/>
          <w:szCs w:val="16"/>
        </w:rPr>
        <w:t xml:space="preserve">Source : tableau </w:t>
      </w:r>
      <w:r w:rsidR="006149F9" w:rsidRPr="00B44991">
        <w:rPr>
          <w:rFonts w:asciiTheme="minorBidi" w:hAnsiTheme="minorBidi"/>
          <w:i/>
          <w:iCs/>
          <w:sz w:val="16"/>
          <w:szCs w:val="16"/>
        </w:rPr>
        <w:t xml:space="preserve">et calculs </w:t>
      </w:r>
      <w:r w:rsidRPr="00B44991">
        <w:rPr>
          <w:rFonts w:asciiTheme="minorBidi" w:hAnsiTheme="minorBidi"/>
          <w:i/>
          <w:iCs/>
          <w:sz w:val="16"/>
          <w:szCs w:val="16"/>
        </w:rPr>
        <w:t>réalisé</w:t>
      </w:r>
      <w:r w:rsidR="006149F9" w:rsidRPr="00B44991">
        <w:rPr>
          <w:rFonts w:asciiTheme="minorBidi" w:hAnsiTheme="minorBidi"/>
          <w:i/>
          <w:iCs/>
          <w:sz w:val="16"/>
          <w:szCs w:val="16"/>
        </w:rPr>
        <w:t>s</w:t>
      </w:r>
      <w:r w:rsidRPr="00B44991">
        <w:rPr>
          <w:rFonts w:asciiTheme="minorBidi" w:hAnsiTheme="minorBidi"/>
          <w:i/>
          <w:iCs/>
          <w:sz w:val="16"/>
          <w:szCs w:val="16"/>
        </w:rPr>
        <w:t xml:space="preserve"> par nos soins à partir des données du MSPRH.</w:t>
      </w:r>
    </w:p>
    <w:p w:rsidR="00814843" w:rsidRPr="00883E21" w:rsidRDefault="00814843" w:rsidP="00883E21">
      <w:pPr>
        <w:spacing w:after="0" w:line="240" w:lineRule="auto"/>
        <w:jc w:val="both"/>
        <w:rPr>
          <w:rFonts w:ascii="Garamond" w:hAnsi="Garamond" w:cstheme="majorBidi"/>
          <w:sz w:val="20"/>
          <w:szCs w:val="20"/>
        </w:rPr>
      </w:pPr>
    </w:p>
    <w:p w:rsidR="00814843" w:rsidRPr="00883E21" w:rsidRDefault="00814843" w:rsidP="00883E21">
      <w:pPr>
        <w:spacing w:after="0" w:line="240" w:lineRule="auto"/>
        <w:jc w:val="both"/>
        <w:rPr>
          <w:rFonts w:ascii="Garamond" w:hAnsi="Garamond" w:cstheme="majorBidi"/>
          <w:sz w:val="20"/>
          <w:szCs w:val="20"/>
        </w:rPr>
      </w:pPr>
    </w:p>
    <w:p w:rsidR="00CF17FE" w:rsidRDefault="00CF17FE"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Plus de 80% de la population algérienne vive su</w:t>
      </w:r>
      <w:r w:rsidR="008A5B25" w:rsidRPr="00883E21">
        <w:rPr>
          <w:rFonts w:ascii="Garamond" w:hAnsi="Garamond" w:cstheme="majorBidi"/>
          <w:sz w:val="20"/>
          <w:szCs w:val="20"/>
        </w:rPr>
        <w:t>r</w:t>
      </w:r>
      <w:r w:rsidRPr="00883E21">
        <w:rPr>
          <w:rFonts w:ascii="Garamond" w:hAnsi="Garamond" w:cstheme="majorBidi"/>
          <w:sz w:val="20"/>
          <w:szCs w:val="20"/>
        </w:rPr>
        <w:t xml:space="preserve"> le littoral, ce qui fait que malgré le nombre </w:t>
      </w:r>
      <w:r w:rsidR="00D31B1A" w:rsidRPr="00883E21">
        <w:rPr>
          <w:rFonts w:ascii="Garamond" w:hAnsi="Garamond" w:cstheme="majorBidi"/>
          <w:sz w:val="20"/>
          <w:szCs w:val="20"/>
        </w:rPr>
        <w:t>élevé</w:t>
      </w:r>
      <w:r w:rsidRPr="00883E21">
        <w:rPr>
          <w:rFonts w:ascii="Garamond" w:hAnsi="Garamond" w:cstheme="majorBidi"/>
          <w:sz w:val="20"/>
          <w:szCs w:val="20"/>
        </w:rPr>
        <w:t xml:space="preserve"> de structures au nord, les taux de couvertures </w:t>
      </w:r>
      <w:r w:rsidR="00D31B1A" w:rsidRPr="00883E21">
        <w:rPr>
          <w:rFonts w:ascii="Garamond" w:hAnsi="Garamond" w:cstheme="majorBidi"/>
          <w:sz w:val="20"/>
          <w:szCs w:val="20"/>
        </w:rPr>
        <w:t>restent</w:t>
      </w:r>
      <w:r w:rsidRPr="00883E21">
        <w:rPr>
          <w:rFonts w:ascii="Garamond" w:hAnsi="Garamond" w:cstheme="majorBidi"/>
          <w:sz w:val="20"/>
          <w:szCs w:val="20"/>
        </w:rPr>
        <w:t xml:space="preserve"> encore </w:t>
      </w:r>
      <w:r w:rsidR="00D31B1A" w:rsidRPr="00883E21">
        <w:rPr>
          <w:rFonts w:ascii="Garamond" w:hAnsi="Garamond" w:cstheme="majorBidi"/>
          <w:sz w:val="20"/>
          <w:szCs w:val="20"/>
        </w:rPr>
        <w:t>élevé</w:t>
      </w:r>
      <w:r w:rsidRPr="00883E21">
        <w:rPr>
          <w:rFonts w:ascii="Garamond" w:hAnsi="Garamond" w:cstheme="majorBidi"/>
          <w:sz w:val="20"/>
          <w:szCs w:val="20"/>
        </w:rPr>
        <w:t xml:space="preserve">. </w:t>
      </w:r>
      <w:r w:rsidR="0011416E">
        <w:rPr>
          <w:rFonts w:ascii="Garamond" w:hAnsi="Garamond" w:cstheme="majorBidi"/>
          <w:sz w:val="20"/>
          <w:szCs w:val="20"/>
        </w:rPr>
        <w:t xml:space="preserve"> </w:t>
      </w:r>
    </w:p>
    <w:p w:rsidR="0011416E" w:rsidRPr="00883E21" w:rsidRDefault="0011416E" w:rsidP="00883E21">
      <w:pPr>
        <w:spacing w:after="0" w:line="240" w:lineRule="auto"/>
        <w:jc w:val="both"/>
        <w:rPr>
          <w:rFonts w:ascii="Garamond" w:hAnsi="Garamond" w:cstheme="majorBidi"/>
          <w:sz w:val="20"/>
          <w:szCs w:val="20"/>
        </w:rPr>
      </w:pPr>
    </w:p>
    <w:p w:rsidR="008A5B25" w:rsidRPr="00883E21" w:rsidRDefault="00CF17FE" w:rsidP="00C75BB2">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Pour ce qui </w:t>
      </w:r>
      <w:r w:rsidR="00D31B1A" w:rsidRPr="00883E21">
        <w:rPr>
          <w:rFonts w:ascii="Garamond" w:hAnsi="Garamond" w:cstheme="majorBidi"/>
          <w:sz w:val="20"/>
          <w:szCs w:val="20"/>
        </w:rPr>
        <w:t xml:space="preserve">est </w:t>
      </w:r>
      <w:r w:rsidRPr="00883E21">
        <w:rPr>
          <w:rFonts w:ascii="Garamond" w:hAnsi="Garamond" w:cstheme="majorBidi"/>
          <w:sz w:val="20"/>
          <w:szCs w:val="20"/>
        </w:rPr>
        <w:t xml:space="preserve">des CHU et EH, les taux de couverture sont très </w:t>
      </w:r>
      <w:r w:rsidR="00D31B1A" w:rsidRPr="00883E21">
        <w:rPr>
          <w:rFonts w:ascii="Garamond" w:hAnsi="Garamond" w:cstheme="majorBidi"/>
          <w:sz w:val="20"/>
          <w:szCs w:val="20"/>
        </w:rPr>
        <w:t>élevés</w:t>
      </w:r>
      <w:r w:rsidRPr="00883E21">
        <w:rPr>
          <w:rFonts w:ascii="Garamond" w:hAnsi="Garamond" w:cstheme="majorBidi"/>
          <w:sz w:val="20"/>
          <w:szCs w:val="20"/>
        </w:rPr>
        <w:t>, dépassant les 2 millions d’habitants</w:t>
      </w:r>
      <w:r w:rsidR="00D31B1A" w:rsidRPr="00883E21">
        <w:rPr>
          <w:rFonts w:ascii="Garamond" w:hAnsi="Garamond" w:cstheme="majorBidi"/>
          <w:sz w:val="20"/>
          <w:szCs w:val="20"/>
        </w:rPr>
        <w:t xml:space="preserve"> </w:t>
      </w:r>
      <w:r w:rsidRPr="00883E21">
        <w:rPr>
          <w:rFonts w:ascii="Garamond" w:hAnsi="Garamond" w:cstheme="majorBidi"/>
          <w:sz w:val="20"/>
          <w:szCs w:val="20"/>
        </w:rPr>
        <w:t xml:space="preserve">par structure, </w:t>
      </w:r>
      <w:r w:rsidR="00C75BB2">
        <w:rPr>
          <w:rFonts w:ascii="Garamond" w:hAnsi="Garamond" w:cstheme="majorBidi"/>
          <w:sz w:val="20"/>
          <w:szCs w:val="20"/>
        </w:rPr>
        <w:t>avec une absence totale au sud, cette insuffisance se répercute sur les délais d’attente d’une intervention chirurgicale (2 mois et plus), ce qui favorise le recours aux cliniques privées, par les couches de population aisées financièrement.</w:t>
      </w:r>
    </w:p>
    <w:p w:rsidR="00D31B1A" w:rsidRDefault="00CF17FE"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Concernant les EHS, la région sud EST est très</w:t>
      </w:r>
      <w:r w:rsidR="00D31B1A" w:rsidRPr="00883E21">
        <w:rPr>
          <w:rFonts w:ascii="Garamond" w:hAnsi="Garamond" w:cstheme="majorBidi"/>
          <w:sz w:val="20"/>
          <w:szCs w:val="20"/>
        </w:rPr>
        <w:t xml:space="preserve"> </w:t>
      </w:r>
      <w:r w:rsidRPr="00883E21">
        <w:rPr>
          <w:rFonts w:ascii="Garamond" w:hAnsi="Garamond" w:cstheme="majorBidi"/>
          <w:sz w:val="20"/>
          <w:szCs w:val="20"/>
        </w:rPr>
        <w:t>faiblement couverte</w:t>
      </w:r>
      <w:r w:rsidR="008A5B25" w:rsidRPr="00883E21">
        <w:rPr>
          <w:rFonts w:ascii="Garamond" w:hAnsi="Garamond" w:cstheme="majorBidi"/>
          <w:sz w:val="20"/>
          <w:szCs w:val="20"/>
        </w:rPr>
        <w:t xml:space="preserve"> avec un seul EHS pour plus de 3 millions d’habitants</w:t>
      </w:r>
      <w:r w:rsidRPr="00883E21">
        <w:rPr>
          <w:rFonts w:ascii="Garamond" w:hAnsi="Garamond" w:cstheme="majorBidi"/>
          <w:sz w:val="20"/>
          <w:szCs w:val="20"/>
        </w:rPr>
        <w:t>. S’agissant des EPH, l’insuffisance est plutôt co</w:t>
      </w:r>
      <w:r w:rsidR="00D31B1A" w:rsidRPr="00883E21">
        <w:rPr>
          <w:rFonts w:ascii="Garamond" w:hAnsi="Garamond" w:cstheme="majorBidi"/>
          <w:sz w:val="20"/>
          <w:szCs w:val="20"/>
        </w:rPr>
        <w:t>nstatée au nord centre et ouest. La couverture sanitaire de proximité par les EPSP est plutôt homogène sur tout le territoire national. La médecine privée pour sa part est plutôt développée dans le nord du pays, dont plus de 90% de l’offre est concentrée.</w:t>
      </w:r>
    </w:p>
    <w:p w:rsidR="00C75BB2" w:rsidRPr="00883E21" w:rsidRDefault="00C75BB2" w:rsidP="00883E21">
      <w:pPr>
        <w:spacing w:after="0" w:line="240" w:lineRule="auto"/>
        <w:jc w:val="both"/>
        <w:rPr>
          <w:rFonts w:ascii="Garamond" w:hAnsi="Garamond" w:cstheme="majorBidi"/>
          <w:sz w:val="20"/>
          <w:szCs w:val="20"/>
        </w:rPr>
      </w:pPr>
    </w:p>
    <w:p w:rsidR="00814843" w:rsidRPr="00883E21" w:rsidRDefault="00D31B1A"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Par ailleurs, </w:t>
      </w:r>
      <w:r w:rsidR="008A5B25" w:rsidRPr="00883E21">
        <w:rPr>
          <w:rFonts w:ascii="Garamond" w:hAnsi="Garamond" w:cstheme="majorBidi"/>
          <w:sz w:val="20"/>
          <w:szCs w:val="20"/>
        </w:rPr>
        <w:t xml:space="preserve">les structures chargées de la prise en charge de </w:t>
      </w:r>
      <w:r w:rsidRPr="00883E21">
        <w:rPr>
          <w:rFonts w:ascii="Garamond" w:hAnsi="Garamond" w:cstheme="majorBidi"/>
          <w:sz w:val="20"/>
          <w:szCs w:val="20"/>
        </w:rPr>
        <w:t>maladies graves ou nécessitant une prise en charge spéciales</w:t>
      </w:r>
      <w:r w:rsidR="008A5B25" w:rsidRPr="00883E21">
        <w:rPr>
          <w:rFonts w:ascii="Garamond" w:hAnsi="Garamond" w:cstheme="majorBidi"/>
          <w:sz w:val="20"/>
          <w:szCs w:val="20"/>
        </w:rPr>
        <w:t xml:space="preserve">, </w:t>
      </w:r>
      <w:r w:rsidRPr="00883E21">
        <w:rPr>
          <w:rFonts w:ascii="Garamond" w:hAnsi="Garamond" w:cstheme="majorBidi"/>
          <w:sz w:val="20"/>
          <w:szCs w:val="20"/>
        </w:rPr>
        <w:t xml:space="preserve">à l’égard du cancer, de l’Alzheimer, le diabète ou le SIDA, est très pauvre si l’on sache qu’il n ya qu’un </w:t>
      </w:r>
      <w:r w:rsidR="006A2BC7" w:rsidRPr="00883E21">
        <w:rPr>
          <w:rFonts w:ascii="Garamond" w:hAnsi="Garamond" w:cstheme="majorBidi"/>
          <w:sz w:val="20"/>
          <w:szCs w:val="20"/>
        </w:rPr>
        <w:t xml:space="preserve">seul </w:t>
      </w:r>
      <w:r w:rsidRPr="00883E21">
        <w:rPr>
          <w:rFonts w:ascii="Garamond" w:hAnsi="Garamond" w:cstheme="majorBidi"/>
          <w:sz w:val="20"/>
          <w:szCs w:val="20"/>
        </w:rPr>
        <w:t>centre d’Alzheimer à l’échelle nationale à BLIDA</w:t>
      </w:r>
      <w:r w:rsidR="006A2BC7" w:rsidRPr="00883E21">
        <w:rPr>
          <w:rFonts w:ascii="Garamond" w:hAnsi="Garamond" w:cstheme="majorBidi"/>
          <w:sz w:val="20"/>
          <w:szCs w:val="20"/>
        </w:rPr>
        <w:t xml:space="preserve">. Les centres anti cancer sont au nombre de 14 avec une capacité de 1820 lits dont plus de 70% sont situés au nord. La seule maison pour diabétique se trouve à Mostaganem et le seul </w:t>
      </w:r>
      <w:r w:rsidR="006A2BC7" w:rsidRPr="00883E21">
        <w:rPr>
          <w:rFonts w:ascii="Garamond" w:hAnsi="Garamond" w:cstheme="majorBidi"/>
          <w:sz w:val="20"/>
          <w:szCs w:val="20"/>
        </w:rPr>
        <w:lastRenderedPageBreak/>
        <w:t>institut de cardiologie se trouve à Alger. Les centres hémodialyse sont au nombre de 15</w:t>
      </w:r>
      <w:r w:rsidR="00EC11C5" w:rsidRPr="00883E21">
        <w:rPr>
          <w:rFonts w:ascii="Garamond" w:hAnsi="Garamond" w:cstheme="majorBidi"/>
          <w:sz w:val="20"/>
          <w:szCs w:val="20"/>
        </w:rPr>
        <w:t xml:space="preserve">, quant aux centres de traitement du SIDA, ils sont au nombre de 8. Bien que le pays </w:t>
      </w:r>
      <w:r w:rsidR="00FB6C1A" w:rsidRPr="00883E21">
        <w:rPr>
          <w:rFonts w:ascii="Garamond" w:hAnsi="Garamond" w:cstheme="majorBidi"/>
          <w:sz w:val="20"/>
          <w:szCs w:val="20"/>
        </w:rPr>
        <w:t>connaisse</w:t>
      </w:r>
      <w:r w:rsidR="00EC11C5" w:rsidRPr="00883E21">
        <w:rPr>
          <w:rFonts w:ascii="Garamond" w:hAnsi="Garamond" w:cstheme="majorBidi"/>
          <w:sz w:val="20"/>
          <w:szCs w:val="20"/>
        </w:rPr>
        <w:t xml:space="preserve"> depuis plus de 10 ans l’émergence de ces maladies, l’investissement dans les infrastructures compétentes pour leur prise en charge reste très faible. </w:t>
      </w:r>
    </w:p>
    <w:p w:rsidR="00C75BB2" w:rsidRDefault="00C75BB2" w:rsidP="00883E21">
      <w:pPr>
        <w:spacing w:after="0" w:line="240" w:lineRule="auto"/>
        <w:jc w:val="both"/>
        <w:rPr>
          <w:rFonts w:ascii="Garamond" w:hAnsi="Garamond" w:cstheme="majorBidi"/>
          <w:sz w:val="20"/>
          <w:szCs w:val="20"/>
        </w:rPr>
      </w:pPr>
    </w:p>
    <w:p w:rsidR="00814843" w:rsidRPr="00883E21" w:rsidRDefault="008A5B25"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En plus du dés</w:t>
      </w:r>
      <w:r w:rsidR="00EC11C5" w:rsidRPr="00883E21">
        <w:rPr>
          <w:rFonts w:ascii="Garamond" w:hAnsi="Garamond" w:cstheme="majorBidi"/>
          <w:sz w:val="20"/>
          <w:szCs w:val="20"/>
        </w:rPr>
        <w:t xml:space="preserve">équilibre en </w:t>
      </w:r>
      <w:r w:rsidRPr="00883E21">
        <w:rPr>
          <w:rFonts w:ascii="Garamond" w:hAnsi="Garamond" w:cstheme="majorBidi"/>
          <w:sz w:val="20"/>
          <w:szCs w:val="20"/>
        </w:rPr>
        <w:t>termes</w:t>
      </w:r>
      <w:r w:rsidR="00EC11C5" w:rsidRPr="00883E21">
        <w:rPr>
          <w:rFonts w:ascii="Garamond" w:hAnsi="Garamond" w:cstheme="majorBidi"/>
          <w:sz w:val="20"/>
          <w:szCs w:val="20"/>
        </w:rPr>
        <w:t xml:space="preserve"> de structures</w:t>
      </w:r>
      <w:r w:rsidRPr="00883E21">
        <w:rPr>
          <w:rFonts w:ascii="Garamond" w:hAnsi="Garamond" w:cstheme="majorBidi"/>
          <w:sz w:val="20"/>
          <w:szCs w:val="20"/>
        </w:rPr>
        <w:t xml:space="preserve">, l’encadrement médical aussi enregistre un problème de répartition </w:t>
      </w:r>
      <w:r w:rsidR="00FB6C1A" w:rsidRPr="00883E21">
        <w:rPr>
          <w:rFonts w:ascii="Garamond" w:hAnsi="Garamond" w:cstheme="majorBidi"/>
          <w:sz w:val="20"/>
          <w:szCs w:val="20"/>
        </w:rPr>
        <w:t xml:space="preserve">sur le territoire national. </w:t>
      </w:r>
    </w:p>
    <w:p w:rsidR="00FB6C1A" w:rsidRPr="00883E21" w:rsidRDefault="00FB6C1A" w:rsidP="00883E21">
      <w:pPr>
        <w:spacing w:after="0" w:line="240" w:lineRule="auto"/>
        <w:jc w:val="both"/>
        <w:rPr>
          <w:rFonts w:ascii="Garamond" w:hAnsi="Garamond" w:cstheme="majorBidi"/>
          <w:sz w:val="20"/>
          <w:szCs w:val="20"/>
        </w:rPr>
      </w:pPr>
    </w:p>
    <w:p w:rsidR="00FB6C1A" w:rsidRPr="00644F81" w:rsidRDefault="00FB6C1A" w:rsidP="00883E21">
      <w:pPr>
        <w:spacing w:after="0" w:line="240" w:lineRule="auto"/>
        <w:jc w:val="both"/>
        <w:rPr>
          <w:rFonts w:ascii="Garamond" w:hAnsi="Garamond" w:cstheme="majorBidi"/>
          <w:b/>
          <w:bCs/>
          <w:sz w:val="20"/>
          <w:szCs w:val="20"/>
        </w:rPr>
      </w:pPr>
      <w:r w:rsidRPr="00644F81">
        <w:rPr>
          <w:rFonts w:ascii="Garamond" w:hAnsi="Garamond" w:cstheme="majorBidi"/>
          <w:b/>
          <w:bCs/>
          <w:sz w:val="20"/>
          <w:szCs w:val="20"/>
        </w:rPr>
        <w:t>Tableau n°</w:t>
      </w:r>
      <w:r w:rsidR="00AE31A5" w:rsidRPr="00644F81">
        <w:rPr>
          <w:rFonts w:ascii="Garamond" w:hAnsi="Garamond" w:cstheme="majorBidi"/>
          <w:b/>
          <w:bCs/>
          <w:sz w:val="20"/>
          <w:szCs w:val="20"/>
        </w:rPr>
        <w:t>05</w:t>
      </w:r>
      <w:r w:rsidRPr="00644F81">
        <w:rPr>
          <w:rFonts w:ascii="Garamond" w:hAnsi="Garamond" w:cstheme="majorBidi"/>
          <w:b/>
          <w:bCs/>
          <w:sz w:val="20"/>
          <w:szCs w:val="20"/>
        </w:rPr>
        <w:t> : le personnel médical en Algérie 2013.</w:t>
      </w:r>
    </w:p>
    <w:tbl>
      <w:tblPr>
        <w:tblW w:w="9072" w:type="dxa"/>
        <w:tblInd w:w="70" w:type="dxa"/>
        <w:tblLayout w:type="fixed"/>
        <w:tblCellMar>
          <w:left w:w="70" w:type="dxa"/>
          <w:right w:w="70" w:type="dxa"/>
        </w:tblCellMar>
        <w:tblLook w:val="0000"/>
      </w:tblPr>
      <w:tblGrid>
        <w:gridCol w:w="1204"/>
        <w:gridCol w:w="709"/>
        <w:gridCol w:w="567"/>
        <w:gridCol w:w="567"/>
        <w:gridCol w:w="709"/>
        <w:gridCol w:w="567"/>
        <w:gridCol w:w="639"/>
        <w:gridCol w:w="567"/>
        <w:gridCol w:w="567"/>
        <w:gridCol w:w="567"/>
        <w:gridCol w:w="567"/>
        <w:gridCol w:w="567"/>
        <w:gridCol w:w="567"/>
        <w:gridCol w:w="708"/>
      </w:tblGrid>
      <w:tr w:rsidR="00FB6C1A" w:rsidRPr="00883E21" w:rsidTr="001D773D">
        <w:trPr>
          <w:trHeight w:val="227"/>
        </w:trPr>
        <w:tc>
          <w:tcPr>
            <w:tcW w:w="1204" w:type="dxa"/>
            <w:vMerge w:val="restart"/>
            <w:tcBorders>
              <w:top w:val="single" w:sz="2" w:space="0" w:color="000000"/>
              <w:left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spécialistes</w:t>
            </w:r>
          </w:p>
        </w:tc>
        <w:tc>
          <w:tcPr>
            <w:tcW w:w="1915" w:type="dxa"/>
            <w:gridSpan w:val="3"/>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Généralistes</w:t>
            </w:r>
          </w:p>
        </w:tc>
        <w:tc>
          <w:tcPr>
            <w:tcW w:w="1701" w:type="dxa"/>
            <w:gridSpan w:val="3"/>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chirurgiens dentistes</w:t>
            </w:r>
          </w:p>
        </w:tc>
        <w:tc>
          <w:tcPr>
            <w:tcW w:w="1701" w:type="dxa"/>
            <w:gridSpan w:val="3"/>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pharmaciens</w:t>
            </w:r>
          </w:p>
        </w:tc>
        <w:tc>
          <w:tcPr>
            <w:tcW w:w="708" w:type="dxa"/>
            <w:vMerge w:val="restart"/>
            <w:tcBorders>
              <w:top w:val="single" w:sz="2" w:space="0" w:color="000000"/>
              <w:left w:val="nil"/>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Total</w:t>
            </w:r>
          </w:p>
        </w:tc>
      </w:tr>
      <w:tr w:rsidR="00FB6C1A" w:rsidRPr="00883E21" w:rsidTr="001D773D">
        <w:trPr>
          <w:trHeight w:val="227"/>
        </w:trPr>
        <w:tc>
          <w:tcPr>
            <w:tcW w:w="1204" w:type="dxa"/>
            <w:vMerge/>
            <w:tcBorders>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M</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F</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T</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M</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F</w:t>
            </w:r>
          </w:p>
        </w:tc>
        <w:tc>
          <w:tcPr>
            <w:tcW w:w="63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T</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M</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F</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T</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M</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F</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T</w:t>
            </w:r>
          </w:p>
        </w:tc>
        <w:tc>
          <w:tcPr>
            <w:tcW w:w="708" w:type="dxa"/>
            <w:vMerge/>
            <w:tcBorders>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p>
        </w:tc>
      </w:tr>
      <w:tr w:rsidR="00FB6C1A" w:rsidRPr="00883E21" w:rsidTr="001D773D">
        <w:trPr>
          <w:trHeight w:val="227"/>
        </w:trPr>
        <w:tc>
          <w:tcPr>
            <w:tcW w:w="1204"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EH/EPH</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2546</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2982</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5528</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2160</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3558</w:t>
            </w:r>
          </w:p>
        </w:tc>
        <w:tc>
          <w:tcPr>
            <w:tcW w:w="63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5718</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69</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179</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248</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102</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228</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330</w:t>
            </w:r>
          </w:p>
        </w:tc>
        <w:tc>
          <w:tcPr>
            <w:tcW w:w="708"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11824</w:t>
            </w:r>
          </w:p>
        </w:tc>
      </w:tr>
      <w:tr w:rsidR="00FB6C1A" w:rsidRPr="00883E21" w:rsidTr="001D773D">
        <w:trPr>
          <w:trHeight w:val="227"/>
        </w:trPr>
        <w:tc>
          <w:tcPr>
            <w:tcW w:w="1204"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CHU/EHU</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647</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1326</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1973</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301</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789</w:t>
            </w:r>
          </w:p>
        </w:tc>
        <w:tc>
          <w:tcPr>
            <w:tcW w:w="63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1090</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21</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76</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97</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17</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112</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129</w:t>
            </w:r>
          </w:p>
        </w:tc>
        <w:tc>
          <w:tcPr>
            <w:tcW w:w="708"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3289</w:t>
            </w:r>
          </w:p>
        </w:tc>
      </w:tr>
      <w:tr w:rsidR="00FB6C1A" w:rsidRPr="00883E21" w:rsidTr="001D773D">
        <w:trPr>
          <w:trHeight w:val="227"/>
        </w:trPr>
        <w:tc>
          <w:tcPr>
            <w:tcW w:w="1204"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EHS</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431</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852</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1283</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186</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588</w:t>
            </w:r>
          </w:p>
        </w:tc>
        <w:tc>
          <w:tcPr>
            <w:tcW w:w="63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774</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14</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35</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49</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20</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81</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101</w:t>
            </w:r>
          </w:p>
        </w:tc>
        <w:tc>
          <w:tcPr>
            <w:tcW w:w="708"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2207</w:t>
            </w:r>
          </w:p>
        </w:tc>
      </w:tr>
      <w:tr w:rsidR="00FB6C1A" w:rsidRPr="00883E21" w:rsidTr="001D773D">
        <w:trPr>
          <w:trHeight w:val="227"/>
        </w:trPr>
        <w:tc>
          <w:tcPr>
            <w:tcW w:w="1204"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EPSP</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320</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1058</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1378</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5758</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9360</w:t>
            </w:r>
          </w:p>
        </w:tc>
        <w:tc>
          <w:tcPr>
            <w:tcW w:w="63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15118</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1779</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4517</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6296</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128</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266</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394</w:t>
            </w:r>
          </w:p>
        </w:tc>
        <w:tc>
          <w:tcPr>
            <w:tcW w:w="708"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23186</w:t>
            </w:r>
          </w:p>
        </w:tc>
      </w:tr>
      <w:tr w:rsidR="00FB6C1A" w:rsidRPr="00883E21" w:rsidTr="001D773D">
        <w:trPr>
          <w:trHeight w:val="227"/>
        </w:trPr>
        <w:tc>
          <w:tcPr>
            <w:tcW w:w="1204"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privé</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2955</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5909</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8864</w:t>
            </w:r>
          </w:p>
        </w:tc>
        <w:tc>
          <w:tcPr>
            <w:tcW w:w="70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3046</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3412</w:t>
            </w:r>
          </w:p>
        </w:tc>
        <w:tc>
          <w:tcPr>
            <w:tcW w:w="639"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6458</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1839</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3602</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5441</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3286</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5891</w:t>
            </w:r>
          </w:p>
        </w:tc>
        <w:tc>
          <w:tcPr>
            <w:tcW w:w="567"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9177</w:t>
            </w:r>
          </w:p>
        </w:tc>
        <w:tc>
          <w:tcPr>
            <w:tcW w:w="708" w:type="dxa"/>
            <w:tcBorders>
              <w:top w:val="single" w:sz="2" w:space="0" w:color="000000"/>
              <w:left w:val="single" w:sz="2" w:space="0" w:color="000000"/>
              <w:bottom w:val="single" w:sz="2" w:space="0" w:color="000000"/>
              <w:right w:val="single" w:sz="2" w:space="0" w:color="000000"/>
            </w:tcBorders>
            <w:vAlign w:val="center"/>
          </w:tcPr>
          <w:p w:rsidR="00FB6C1A" w:rsidRPr="00883E21" w:rsidRDefault="00FB6C1A" w:rsidP="00883E21">
            <w:pPr>
              <w:autoSpaceDE w:val="0"/>
              <w:autoSpaceDN w:val="0"/>
              <w:adjustRightInd w:val="0"/>
              <w:spacing w:after="0" w:line="240" w:lineRule="auto"/>
              <w:jc w:val="both"/>
              <w:rPr>
                <w:rFonts w:ascii="Garamond" w:hAnsi="Garamond" w:cs="Calibri"/>
                <w:color w:val="000000"/>
                <w:sz w:val="20"/>
                <w:szCs w:val="20"/>
              </w:rPr>
            </w:pPr>
            <w:r w:rsidRPr="00883E21">
              <w:rPr>
                <w:rFonts w:ascii="Garamond" w:hAnsi="Garamond" w:cs="Calibri"/>
                <w:color w:val="000000"/>
                <w:sz w:val="20"/>
                <w:szCs w:val="20"/>
              </w:rPr>
              <w:t>29940</w:t>
            </w:r>
          </w:p>
        </w:tc>
      </w:tr>
    </w:tbl>
    <w:p w:rsidR="00FB6C1A" w:rsidRPr="00B44991" w:rsidRDefault="00FB6C1A" w:rsidP="00883E21">
      <w:pPr>
        <w:spacing w:after="0" w:line="240" w:lineRule="auto"/>
        <w:jc w:val="both"/>
        <w:rPr>
          <w:rFonts w:asciiTheme="minorBidi" w:hAnsiTheme="minorBidi"/>
          <w:i/>
          <w:iCs/>
          <w:sz w:val="16"/>
          <w:szCs w:val="16"/>
        </w:rPr>
      </w:pPr>
      <w:r w:rsidRPr="00B44991">
        <w:rPr>
          <w:rFonts w:asciiTheme="minorBidi" w:hAnsiTheme="minorBidi"/>
          <w:i/>
          <w:iCs/>
          <w:sz w:val="16"/>
          <w:szCs w:val="16"/>
        </w:rPr>
        <w:t>Source : tableau réalisé par nos soins à partir des données du MSPRH, Alger 2014.</w:t>
      </w:r>
    </w:p>
    <w:p w:rsidR="00814843" w:rsidRPr="00883E21" w:rsidRDefault="00814843" w:rsidP="00883E21">
      <w:pPr>
        <w:spacing w:after="0" w:line="240" w:lineRule="auto"/>
        <w:jc w:val="both"/>
        <w:rPr>
          <w:rFonts w:ascii="Garamond" w:hAnsi="Garamond" w:cstheme="majorBidi"/>
          <w:sz w:val="20"/>
          <w:szCs w:val="20"/>
        </w:rPr>
      </w:pPr>
    </w:p>
    <w:p w:rsidR="00FB6C1A" w:rsidRPr="00883E21" w:rsidRDefault="00DD1037"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L’examen des statistiques dans leur globalité montre que la couverture sanitaire en Algérie avoisine celle des pays développés, avec en 2013:</w:t>
      </w:r>
    </w:p>
    <w:p w:rsidR="00DD1037" w:rsidRPr="00883E21" w:rsidRDefault="00DD1037"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1 médecin spécialiste pour 2000 habitants,</w:t>
      </w:r>
    </w:p>
    <w:p w:rsidR="00DD1037" w:rsidRPr="00883E21" w:rsidRDefault="00DD1037"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1 médecin généraliste pour 1980 habitants,</w:t>
      </w:r>
    </w:p>
    <w:p w:rsidR="00DD1037" w:rsidRPr="00883E21" w:rsidRDefault="00DD1037"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1 chirurgien dentiste pour 3100 habitants,</w:t>
      </w:r>
    </w:p>
    <w:p w:rsidR="00DD1037" w:rsidRPr="00883E21" w:rsidRDefault="00DD1037" w:rsidP="00883E21">
      <w:pPr>
        <w:pStyle w:val="Paragraphedeliste"/>
        <w:numPr>
          <w:ilvl w:val="0"/>
          <w:numId w:val="4"/>
        </w:numPr>
        <w:spacing w:after="0" w:line="240" w:lineRule="auto"/>
        <w:jc w:val="both"/>
        <w:rPr>
          <w:rFonts w:ascii="Garamond" w:hAnsi="Garamond" w:cstheme="majorBidi"/>
          <w:sz w:val="20"/>
          <w:szCs w:val="20"/>
        </w:rPr>
      </w:pPr>
      <w:r w:rsidRPr="00883E21">
        <w:rPr>
          <w:rFonts w:ascii="Garamond" w:hAnsi="Garamond" w:cstheme="majorBidi"/>
          <w:sz w:val="20"/>
          <w:szCs w:val="20"/>
        </w:rPr>
        <w:t>1 pharmacien pour 3750 habitants.</w:t>
      </w:r>
    </w:p>
    <w:p w:rsidR="00E024A1" w:rsidRDefault="0075389C"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Avec une prédominance féminine</w:t>
      </w:r>
      <w:r w:rsidR="007F19FB" w:rsidRPr="00883E21">
        <w:rPr>
          <w:rFonts w:ascii="Garamond" w:hAnsi="Garamond" w:cstheme="majorBidi"/>
          <w:sz w:val="20"/>
          <w:szCs w:val="20"/>
        </w:rPr>
        <w:t xml:space="preserve"> (plus de 6</w:t>
      </w:r>
      <w:r w:rsidR="00BD139A" w:rsidRPr="00883E21">
        <w:rPr>
          <w:rFonts w:ascii="Garamond" w:hAnsi="Garamond" w:cstheme="majorBidi"/>
          <w:sz w:val="20"/>
          <w:szCs w:val="20"/>
        </w:rPr>
        <w:t>3</w:t>
      </w:r>
      <w:r w:rsidR="007F19FB" w:rsidRPr="00883E21">
        <w:rPr>
          <w:rFonts w:ascii="Garamond" w:hAnsi="Garamond" w:cstheme="majorBidi"/>
          <w:sz w:val="20"/>
          <w:szCs w:val="20"/>
        </w:rPr>
        <w:t>% en 2013)</w:t>
      </w:r>
      <w:r w:rsidRPr="00883E21">
        <w:rPr>
          <w:rFonts w:ascii="Garamond" w:hAnsi="Garamond" w:cstheme="majorBidi"/>
          <w:sz w:val="20"/>
          <w:szCs w:val="20"/>
        </w:rPr>
        <w:t>, le personnel médical en Algérie se concentre dans les grandes agglomérations d</w:t>
      </w:r>
      <w:r w:rsidR="003725A6" w:rsidRPr="00883E21">
        <w:rPr>
          <w:rFonts w:ascii="Garamond" w:hAnsi="Garamond" w:cstheme="majorBidi"/>
          <w:sz w:val="20"/>
          <w:szCs w:val="20"/>
        </w:rPr>
        <w:t>u</w:t>
      </w:r>
      <w:r w:rsidRPr="00883E21">
        <w:rPr>
          <w:rFonts w:ascii="Garamond" w:hAnsi="Garamond" w:cstheme="majorBidi"/>
          <w:sz w:val="20"/>
          <w:szCs w:val="20"/>
        </w:rPr>
        <w:t xml:space="preserve"> nord</w:t>
      </w:r>
      <w:r w:rsidR="001D78D2">
        <w:rPr>
          <w:rFonts w:ascii="Garamond" w:hAnsi="Garamond" w:cstheme="majorBidi"/>
          <w:sz w:val="20"/>
          <w:szCs w:val="20"/>
        </w:rPr>
        <w:t xml:space="preserve"> avec environ 90%</w:t>
      </w:r>
      <w:r w:rsidR="003725A6" w:rsidRPr="00883E21">
        <w:rPr>
          <w:rFonts w:ascii="Garamond" w:hAnsi="Garamond" w:cstheme="majorBidi"/>
          <w:sz w:val="20"/>
          <w:szCs w:val="20"/>
        </w:rPr>
        <w:t xml:space="preserve">, </w:t>
      </w:r>
      <w:r w:rsidR="008A5B25" w:rsidRPr="00883E21">
        <w:rPr>
          <w:rFonts w:ascii="Garamond" w:hAnsi="Garamond" w:cstheme="majorBidi"/>
          <w:sz w:val="20"/>
          <w:szCs w:val="20"/>
        </w:rPr>
        <w:t>puis</w:t>
      </w:r>
      <w:r w:rsidR="003725A6" w:rsidRPr="00883E21">
        <w:rPr>
          <w:rFonts w:ascii="Garamond" w:hAnsi="Garamond" w:cstheme="majorBidi"/>
          <w:sz w:val="20"/>
          <w:szCs w:val="20"/>
        </w:rPr>
        <w:t xml:space="preserve"> </w:t>
      </w:r>
      <w:r w:rsidR="00E024A1" w:rsidRPr="00883E21">
        <w:rPr>
          <w:rFonts w:ascii="Garamond" w:hAnsi="Garamond" w:cstheme="majorBidi"/>
          <w:sz w:val="20"/>
          <w:szCs w:val="20"/>
        </w:rPr>
        <w:t xml:space="preserve">il </w:t>
      </w:r>
      <w:r w:rsidR="003725A6" w:rsidRPr="00883E21">
        <w:rPr>
          <w:rFonts w:ascii="Garamond" w:hAnsi="Garamond" w:cstheme="majorBidi"/>
          <w:sz w:val="20"/>
          <w:szCs w:val="20"/>
        </w:rPr>
        <w:t xml:space="preserve">diminue plus en avance dans le Sahara. Notamment pour ce qui concerne les médecins spécialistes. </w:t>
      </w:r>
    </w:p>
    <w:p w:rsidR="00E55FCD" w:rsidRPr="00883E21" w:rsidRDefault="00E55FCD" w:rsidP="00883E21">
      <w:pPr>
        <w:spacing w:after="0" w:line="240" w:lineRule="auto"/>
        <w:jc w:val="both"/>
        <w:rPr>
          <w:rFonts w:ascii="Garamond" w:hAnsi="Garamond" w:cstheme="majorBidi"/>
          <w:sz w:val="20"/>
          <w:szCs w:val="20"/>
        </w:rPr>
      </w:pPr>
    </w:p>
    <w:p w:rsidR="00DD1037" w:rsidRPr="00883E21" w:rsidRDefault="00E024A1" w:rsidP="00C75BB2">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Les statistiques du ministère de la santé, montre que </w:t>
      </w:r>
      <w:r w:rsidR="003725A6" w:rsidRPr="00883E21">
        <w:rPr>
          <w:rFonts w:ascii="Garamond" w:hAnsi="Garamond" w:cstheme="majorBidi"/>
          <w:sz w:val="20"/>
          <w:szCs w:val="20"/>
        </w:rPr>
        <w:t xml:space="preserve">35% des </w:t>
      </w:r>
      <w:r w:rsidRPr="00883E21">
        <w:rPr>
          <w:rFonts w:ascii="Garamond" w:hAnsi="Garamond" w:cstheme="majorBidi"/>
          <w:sz w:val="20"/>
          <w:szCs w:val="20"/>
        </w:rPr>
        <w:t>structures</w:t>
      </w:r>
      <w:r w:rsidR="003725A6" w:rsidRPr="00883E21">
        <w:rPr>
          <w:rFonts w:ascii="Garamond" w:hAnsi="Garamond" w:cstheme="majorBidi"/>
          <w:sz w:val="20"/>
          <w:szCs w:val="20"/>
        </w:rPr>
        <w:t xml:space="preserve"> publics</w:t>
      </w:r>
      <w:r w:rsidRPr="00883E21">
        <w:rPr>
          <w:rFonts w:ascii="Garamond" w:hAnsi="Garamond" w:cstheme="majorBidi"/>
          <w:sz w:val="20"/>
          <w:szCs w:val="20"/>
        </w:rPr>
        <w:t xml:space="preserve"> de soins exerçant au sud ne compte aucun</w:t>
      </w:r>
      <w:r w:rsidR="003725A6" w:rsidRPr="00883E21">
        <w:rPr>
          <w:rFonts w:ascii="Garamond" w:hAnsi="Garamond" w:cstheme="majorBidi"/>
          <w:sz w:val="20"/>
          <w:szCs w:val="20"/>
        </w:rPr>
        <w:t xml:space="preserve"> médecin spécialiste</w:t>
      </w:r>
      <w:r w:rsidRPr="00883E21">
        <w:rPr>
          <w:rFonts w:ascii="Garamond" w:hAnsi="Garamond" w:cstheme="majorBidi"/>
          <w:sz w:val="20"/>
          <w:szCs w:val="20"/>
        </w:rPr>
        <w:t>. Ce manque se justifié par la</w:t>
      </w:r>
      <w:r w:rsidR="003725A6" w:rsidRPr="00883E21">
        <w:rPr>
          <w:rFonts w:ascii="Garamond" w:hAnsi="Garamond" w:cstheme="majorBidi"/>
          <w:sz w:val="20"/>
          <w:szCs w:val="20"/>
        </w:rPr>
        <w:t xml:space="preserve"> fuit</w:t>
      </w:r>
      <w:r w:rsidRPr="00883E21">
        <w:rPr>
          <w:rFonts w:ascii="Garamond" w:hAnsi="Garamond" w:cstheme="majorBidi"/>
          <w:sz w:val="20"/>
          <w:szCs w:val="20"/>
        </w:rPr>
        <w:t>e</w:t>
      </w:r>
      <w:r w:rsidR="003725A6" w:rsidRPr="00883E21">
        <w:rPr>
          <w:rFonts w:ascii="Garamond" w:hAnsi="Garamond" w:cstheme="majorBidi"/>
          <w:sz w:val="20"/>
          <w:szCs w:val="20"/>
        </w:rPr>
        <w:t xml:space="preserve"> </w:t>
      </w:r>
      <w:r w:rsidR="00BD139A" w:rsidRPr="00883E21">
        <w:rPr>
          <w:rFonts w:ascii="Garamond" w:hAnsi="Garamond" w:cstheme="majorBidi"/>
          <w:sz w:val="20"/>
          <w:szCs w:val="20"/>
        </w:rPr>
        <w:t xml:space="preserve">des médecins </w:t>
      </w:r>
      <w:r w:rsidRPr="00883E21">
        <w:rPr>
          <w:rFonts w:ascii="Garamond" w:hAnsi="Garamond" w:cstheme="majorBidi"/>
          <w:sz w:val="20"/>
          <w:szCs w:val="20"/>
        </w:rPr>
        <w:t>d</w:t>
      </w:r>
      <w:r w:rsidR="003725A6" w:rsidRPr="00883E21">
        <w:rPr>
          <w:rFonts w:ascii="Garamond" w:hAnsi="Garamond" w:cstheme="majorBidi"/>
          <w:sz w:val="20"/>
          <w:szCs w:val="20"/>
        </w:rPr>
        <w:t xml:space="preserve">es conditions climatiques difficile du sud d’une part, et </w:t>
      </w:r>
      <w:r w:rsidRPr="00883E21">
        <w:rPr>
          <w:rFonts w:ascii="Garamond" w:hAnsi="Garamond" w:cstheme="majorBidi"/>
          <w:sz w:val="20"/>
          <w:szCs w:val="20"/>
        </w:rPr>
        <w:t xml:space="preserve">la </w:t>
      </w:r>
      <w:r w:rsidR="003725A6" w:rsidRPr="00883E21">
        <w:rPr>
          <w:rFonts w:ascii="Garamond" w:hAnsi="Garamond" w:cstheme="majorBidi"/>
          <w:sz w:val="20"/>
          <w:szCs w:val="20"/>
        </w:rPr>
        <w:t xml:space="preserve">cherche la rentabilité </w:t>
      </w:r>
      <w:r w:rsidRPr="00883E21">
        <w:rPr>
          <w:rFonts w:ascii="Garamond" w:hAnsi="Garamond" w:cstheme="majorBidi"/>
          <w:sz w:val="20"/>
          <w:szCs w:val="20"/>
        </w:rPr>
        <w:t>qu’offre le secteur libérale</w:t>
      </w:r>
      <w:r w:rsidR="001D78D2">
        <w:rPr>
          <w:rFonts w:ascii="Garamond" w:hAnsi="Garamond" w:cstheme="majorBidi"/>
          <w:sz w:val="20"/>
          <w:szCs w:val="20"/>
        </w:rPr>
        <w:t xml:space="preserve"> au nord</w:t>
      </w:r>
      <w:r w:rsidR="00181C21" w:rsidRPr="00883E21">
        <w:rPr>
          <w:rFonts w:ascii="Garamond" w:hAnsi="Garamond" w:cstheme="majorBidi"/>
          <w:sz w:val="20"/>
          <w:szCs w:val="20"/>
        </w:rPr>
        <w:t xml:space="preserve">. Cette tendance accrue à la privatisation de la médecine spécialisée est le reflet de l’essor du marché privé de soins de santé, qui offrent des services de santé de qualité, au détriment du secteur public, </w:t>
      </w:r>
      <w:r w:rsidR="00BD139A" w:rsidRPr="00883E21">
        <w:rPr>
          <w:rFonts w:ascii="Garamond" w:hAnsi="Garamond" w:cstheme="majorBidi"/>
          <w:sz w:val="20"/>
          <w:szCs w:val="20"/>
        </w:rPr>
        <w:t xml:space="preserve">notamment pour certains actes médicaux conventionnés avec la sécurité sociale qui connaissent un essor important à l’égard de l’hémodialyse rénale, la chirurgie </w:t>
      </w:r>
      <w:r w:rsidR="00A16C79" w:rsidRPr="00883E21">
        <w:rPr>
          <w:rFonts w:ascii="Garamond" w:hAnsi="Garamond" w:cstheme="majorBidi"/>
          <w:sz w:val="20"/>
          <w:szCs w:val="20"/>
        </w:rPr>
        <w:t>générale</w:t>
      </w:r>
      <w:r w:rsidR="00BD139A" w:rsidRPr="00883E21">
        <w:rPr>
          <w:rFonts w:ascii="Garamond" w:hAnsi="Garamond" w:cstheme="majorBidi"/>
          <w:sz w:val="20"/>
          <w:szCs w:val="20"/>
        </w:rPr>
        <w:t>, gynéco obstétrique</w:t>
      </w:r>
      <w:r w:rsidR="00BD139A" w:rsidRPr="00883E21">
        <w:rPr>
          <w:rStyle w:val="Appelnotedebasdep"/>
          <w:rFonts w:ascii="Garamond" w:hAnsi="Garamond" w:cstheme="majorBidi"/>
          <w:sz w:val="20"/>
          <w:szCs w:val="20"/>
        </w:rPr>
        <w:footnoteReference w:id="17"/>
      </w:r>
      <w:r w:rsidR="00BD139A" w:rsidRPr="00883E21">
        <w:rPr>
          <w:rFonts w:ascii="Garamond" w:hAnsi="Garamond" w:cstheme="majorBidi"/>
          <w:sz w:val="20"/>
          <w:szCs w:val="20"/>
        </w:rPr>
        <w:t xml:space="preserve">, </w:t>
      </w:r>
      <w:r w:rsidR="00A16C79" w:rsidRPr="00883E21">
        <w:rPr>
          <w:rFonts w:ascii="Garamond" w:hAnsi="Garamond" w:cstheme="majorBidi"/>
          <w:sz w:val="20"/>
          <w:szCs w:val="20"/>
        </w:rPr>
        <w:t xml:space="preserve">l’ophtalmologie </w:t>
      </w:r>
      <w:r w:rsidR="007A6408" w:rsidRPr="00883E21">
        <w:rPr>
          <w:rFonts w:ascii="Garamond" w:hAnsi="Garamond" w:cstheme="majorBidi"/>
          <w:sz w:val="20"/>
          <w:szCs w:val="20"/>
        </w:rPr>
        <w:t>etc.</w:t>
      </w:r>
    </w:p>
    <w:p w:rsidR="00A16C79" w:rsidRPr="00883E21" w:rsidRDefault="00A16C79" w:rsidP="00883E21">
      <w:pPr>
        <w:spacing w:after="0" w:line="240" w:lineRule="auto"/>
        <w:jc w:val="both"/>
        <w:rPr>
          <w:rFonts w:ascii="Garamond" w:hAnsi="Garamond" w:cstheme="majorBidi"/>
          <w:sz w:val="20"/>
          <w:szCs w:val="20"/>
        </w:rPr>
      </w:pPr>
    </w:p>
    <w:p w:rsidR="00E024A1" w:rsidRPr="00883E21" w:rsidRDefault="007F19FB"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Un autre phénomène peut </w:t>
      </w:r>
      <w:r w:rsidR="00E024A1" w:rsidRPr="00883E21">
        <w:rPr>
          <w:rFonts w:ascii="Garamond" w:hAnsi="Garamond" w:cstheme="majorBidi"/>
          <w:sz w:val="20"/>
          <w:szCs w:val="20"/>
        </w:rPr>
        <w:t>justifier la mauvaise répartition</w:t>
      </w:r>
      <w:r w:rsidRPr="00883E21">
        <w:rPr>
          <w:rFonts w:ascii="Garamond" w:hAnsi="Garamond" w:cstheme="majorBidi"/>
          <w:sz w:val="20"/>
          <w:szCs w:val="20"/>
        </w:rPr>
        <w:t xml:space="preserve"> du personnel médicale e</w:t>
      </w:r>
      <w:r w:rsidR="00E024A1" w:rsidRPr="00883E21">
        <w:rPr>
          <w:rFonts w:ascii="Garamond" w:hAnsi="Garamond" w:cstheme="majorBidi"/>
          <w:sz w:val="20"/>
          <w:szCs w:val="20"/>
        </w:rPr>
        <w:t>st la faible mobilité du personnel médical notamment féminin</w:t>
      </w:r>
      <w:r w:rsidR="000B3C7B" w:rsidRPr="00883E21">
        <w:rPr>
          <w:rFonts w:ascii="Garamond" w:hAnsi="Garamond" w:cstheme="majorBidi"/>
          <w:sz w:val="20"/>
          <w:szCs w:val="20"/>
        </w:rPr>
        <w:t>,</w:t>
      </w:r>
      <w:r w:rsidR="00E024A1" w:rsidRPr="00883E21">
        <w:rPr>
          <w:rFonts w:ascii="Garamond" w:hAnsi="Garamond" w:cstheme="majorBidi"/>
          <w:sz w:val="20"/>
          <w:szCs w:val="20"/>
        </w:rPr>
        <w:t xml:space="preserve"> qui refuse pour des raisons culturelles de se déplacer vers d’autres wilayas pour travaillé. Ce qui fait, qu’au nord du pays il y a plusieurs médecins en chômage, alors qu</w:t>
      </w:r>
      <w:r w:rsidR="00BD139A" w:rsidRPr="00883E21">
        <w:rPr>
          <w:rFonts w:ascii="Garamond" w:hAnsi="Garamond" w:cstheme="majorBidi"/>
          <w:sz w:val="20"/>
          <w:szCs w:val="20"/>
        </w:rPr>
        <w:t xml:space="preserve">’au sud le besoins est flagrant dans toutes les spécialités. </w:t>
      </w:r>
    </w:p>
    <w:p w:rsidR="00C9191E" w:rsidRDefault="001D78D2" w:rsidP="001D78D2">
      <w:pPr>
        <w:autoSpaceDE w:val="0"/>
        <w:autoSpaceDN w:val="0"/>
        <w:adjustRightInd w:val="0"/>
        <w:spacing w:after="0" w:line="240" w:lineRule="auto"/>
        <w:jc w:val="both"/>
        <w:rPr>
          <w:rFonts w:ascii="Garamond" w:hAnsi="Garamond" w:cs="TimesNewRomanPSMT"/>
          <w:sz w:val="20"/>
          <w:szCs w:val="20"/>
        </w:rPr>
      </w:pPr>
      <w:r>
        <w:rPr>
          <w:rFonts w:ascii="Garamond" w:hAnsi="Garamond" w:cs="TimesNewRomanPSMT"/>
          <w:sz w:val="20"/>
          <w:szCs w:val="20"/>
        </w:rPr>
        <w:t xml:space="preserve">Et même du </w:t>
      </w:r>
      <w:r w:rsidR="00C9191E" w:rsidRPr="00883E21">
        <w:rPr>
          <w:rFonts w:ascii="Garamond" w:hAnsi="Garamond" w:cs="TimesNewRomanPSMT"/>
          <w:sz w:val="20"/>
          <w:szCs w:val="20"/>
        </w:rPr>
        <w:t xml:space="preserve">côté formation des médecins, pharmaciens et chirurgiens dentistes, elle est assurée </w:t>
      </w:r>
      <w:r>
        <w:rPr>
          <w:rFonts w:ascii="Garamond" w:hAnsi="Garamond" w:cs="TimesNewRomanPSMT"/>
          <w:sz w:val="20"/>
          <w:szCs w:val="20"/>
        </w:rPr>
        <w:t xml:space="preserve">en exclusivité </w:t>
      </w:r>
      <w:r w:rsidR="00C9191E" w:rsidRPr="00883E21">
        <w:rPr>
          <w:rFonts w:ascii="Garamond" w:hAnsi="Garamond" w:cs="TimesNewRomanPSMT"/>
          <w:sz w:val="20"/>
          <w:szCs w:val="20"/>
        </w:rPr>
        <w:t>par onze facultés de médecine, toutes situées dans les wilayas du nord du pays.</w:t>
      </w:r>
    </w:p>
    <w:p w:rsidR="00E55FCD" w:rsidRPr="00883E21" w:rsidRDefault="00E55FCD" w:rsidP="001D78D2">
      <w:pPr>
        <w:autoSpaceDE w:val="0"/>
        <w:autoSpaceDN w:val="0"/>
        <w:adjustRightInd w:val="0"/>
        <w:spacing w:after="0" w:line="240" w:lineRule="auto"/>
        <w:jc w:val="both"/>
        <w:rPr>
          <w:rFonts w:ascii="Garamond" w:hAnsi="Garamond" w:cs="TimesNewRomanPSMT"/>
          <w:sz w:val="20"/>
          <w:szCs w:val="20"/>
        </w:rPr>
      </w:pPr>
    </w:p>
    <w:p w:rsidR="00814843" w:rsidRPr="00883E21" w:rsidRDefault="002A1A59"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De plus, plusieurs spécialit</w:t>
      </w:r>
      <w:r w:rsidR="00BD139A" w:rsidRPr="00883E21">
        <w:rPr>
          <w:rFonts w:ascii="Garamond" w:hAnsi="Garamond" w:cstheme="majorBidi"/>
          <w:sz w:val="20"/>
          <w:szCs w:val="20"/>
        </w:rPr>
        <w:t>é</w:t>
      </w:r>
      <w:r w:rsidRPr="00883E21">
        <w:rPr>
          <w:rFonts w:ascii="Garamond" w:hAnsi="Garamond" w:cstheme="majorBidi"/>
          <w:sz w:val="20"/>
          <w:szCs w:val="20"/>
        </w:rPr>
        <w:t xml:space="preserve">s en médecine </w:t>
      </w:r>
      <w:r w:rsidR="00957D9B" w:rsidRPr="00883E21">
        <w:rPr>
          <w:rFonts w:ascii="Garamond" w:hAnsi="Garamond" w:cstheme="majorBidi"/>
          <w:sz w:val="20"/>
          <w:szCs w:val="20"/>
        </w:rPr>
        <w:t>affichent</w:t>
      </w:r>
      <w:r w:rsidR="00BD139A" w:rsidRPr="00883E21">
        <w:rPr>
          <w:rFonts w:ascii="Garamond" w:hAnsi="Garamond" w:cstheme="majorBidi"/>
          <w:sz w:val="20"/>
          <w:szCs w:val="20"/>
        </w:rPr>
        <w:t xml:space="preserve"> un</w:t>
      </w:r>
      <w:r w:rsidRPr="00883E21">
        <w:rPr>
          <w:rFonts w:ascii="Garamond" w:hAnsi="Garamond" w:cstheme="majorBidi"/>
          <w:sz w:val="20"/>
          <w:szCs w:val="20"/>
        </w:rPr>
        <w:t xml:space="preserve"> </w:t>
      </w:r>
      <w:r w:rsidR="003373C4" w:rsidRPr="00883E21">
        <w:rPr>
          <w:rFonts w:ascii="Garamond" w:hAnsi="Garamond" w:cstheme="majorBidi"/>
          <w:sz w:val="20"/>
          <w:szCs w:val="20"/>
        </w:rPr>
        <w:t>déficit</w:t>
      </w:r>
      <w:r w:rsidR="00BD139A" w:rsidRPr="00883E21">
        <w:rPr>
          <w:rFonts w:ascii="Garamond" w:hAnsi="Garamond" w:cstheme="majorBidi"/>
          <w:sz w:val="20"/>
          <w:szCs w:val="20"/>
        </w:rPr>
        <w:t xml:space="preserve"> </w:t>
      </w:r>
      <w:r w:rsidR="00AE4DA6" w:rsidRPr="00883E21">
        <w:rPr>
          <w:rFonts w:ascii="Garamond" w:hAnsi="Garamond" w:cstheme="majorBidi"/>
          <w:sz w:val="20"/>
          <w:szCs w:val="20"/>
        </w:rPr>
        <w:t xml:space="preserve">important </w:t>
      </w:r>
      <w:r w:rsidR="00957D9B" w:rsidRPr="00883E21">
        <w:rPr>
          <w:rFonts w:ascii="Garamond" w:hAnsi="Garamond" w:cstheme="majorBidi"/>
          <w:sz w:val="20"/>
          <w:szCs w:val="20"/>
        </w:rPr>
        <w:t>vu</w:t>
      </w:r>
      <w:r w:rsidR="00BD139A" w:rsidRPr="00883E21">
        <w:rPr>
          <w:rFonts w:ascii="Garamond" w:hAnsi="Garamond" w:cstheme="majorBidi"/>
          <w:sz w:val="20"/>
          <w:szCs w:val="20"/>
        </w:rPr>
        <w:t xml:space="preserve"> l’augmentation de l’incidence </w:t>
      </w:r>
      <w:r w:rsidR="00AE4DA6" w:rsidRPr="00883E21">
        <w:rPr>
          <w:rFonts w:ascii="Garamond" w:hAnsi="Garamond" w:cstheme="majorBidi"/>
          <w:sz w:val="20"/>
          <w:szCs w:val="20"/>
        </w:rPr>
        <w:t xml:space="preserve">élevé </w:t>
      </w:r>
      <w:r w:rsidR="00BD139A" w:rsidRPr="00883E21">
        <w:rPr>
          <w:rFonts w:ascii="Garamond" w:hAnsi="Garamond" w:cstheme="majorBidi"/>
          <w:sz w:val="20"/>
          <w:szCs w:val="20"/>
        </w:rPr>
        <w:t>de</w:t>
      </w:r>
      <w:r w:rsidR="00957D9B" w:rsidRPr="00883E21">
        <w:rPr>
          <w:rFonts w:ascii="Garamond" w:hAnsi="Garamond" w:cstheme="majorBidi"/>
          <w:sz w:val="20"/>
          <w:szCs w:val="20"/>
        </w:rPr>
        <w:t>s</w:t>
      </w:r>
      <w:r w:rsidR="00BD139A" w:rsidRPr="00883E21">
        <w:rPr>
          <w:rFonts w:ascii="Garamond" w:hAnsi="Garamond" w:cstheme="majorBidi"/>
          <w:sz w:val="20"/>
          <w:szCs w:val="20"/>
        </w:rPr>
        <w:t xml:space="preserve"> maladies</w:t>
      </w:r>
      <w:r w:rsidR="00957D9B" w:rsidRPr="00883E21">
        <w:rPr>
          <w:rFonts w:ascii="Garamond" w:hAnsi="Garamond" w:cstheme="majorBidi"/>
          <w:sz w:val="20"/>
          <w:szCs w:val="20"/>
        </w:rPr>
        <w:t xml:space="preserve"> chronique</w:t>
      </w:r>
      <w:r w:rsidR="00BD139A" w:rsidRPr="00883E21">
        <w:rPr>
          <w:rFonts w:ascii="Garamond" w:hAnsi="Garamond" w:cstheme="majorBidi"/>
          <w:sz w:val="20"/>
          <w:szCs w:val="20"/>
        </w:rPr>
        <w:t xml:space="preserve"> à l’égard des spécialistes en </w:t>
      </w:r>
      <w:r w:rsidR="007A6408" w:rsidRPr="00883E21">
        <w:rPr>
          <w:rFonts w:ascii="Garamond" w:hAnsi="Garamond" w:cstheme="majorBidi"/>
          <w:sz w:val="20"/>
          <w:szCs w:val="20"/>
        </w:rPr>
        <w:t>diabète</w:t>
      </w:r>
      <w:r w:rsidR="00BD139A" w:rsidRPr="00883E21">
        <w:rPr>
          <w:rFonts w:ascii="Garamond" w:hAnsi="Garamond" w:cstheme="majorBidi"/>
          <w:sz w:val="20"/>
          <w:szCs w:val="20"/>
        </w:rPr>
        <w:t>-</w:t>
      </w:r>
      <w:r w:rsidR="007A6408" w:rsidRPr="00883E21">
        <w:rPr>
          <w:rFonts w:ascii="Garamond" w:hAnsi="Garamond" w:cstheme="majorBidi"/>
          <w:sz w:val="20"/>
          <w:szCs w:val="20"/>
        </w:rPr>
        <w:t>endocrinologie</w:t>
      </w:r>
      <w:r w:rsidR="00957D9B" w:rsidRPr="00883E21">
        <w:rPr>
          <w:rFonts w:ascii="Garamond" w:hAnsi="Garamond" w:cstheme="majorBidi"/>
          <w:sz w:val="20"/>
          <w:szCs w:val="20"/>
        </w:rPr>
        <w:t>, cardiologues, hématologues, etc. comme le montre le tableau suivant :</w:t>
      </w:r>
    </w:p>
    <w:p w:rsidR="00AE4DA6" w:rsidRPr="00883E21" w:rsidRDefault="00AE4DA6" w:rsidP="00883E21">
      <w:pPr>
        <w:spacing w:after="0" w:line="240" w:lineRule="auto"/>
        <w:jc w:val="both"/>
        <w:rPr>
          <w:rFonts w:ascii="Garamond" w:hAnsi="Garamond" w:cstheme="majorBidi"/>
          <w:sz w:val="20"/>
          <w:szCs w:val="20"/>
        </w:rPr>
      </w:pPr>
    </w:p>
    <w:p w:rsidR="00AE4DA6" w:rsidRPr="00883E21" w:rsidRDefault="00AE4DA6"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Tableau n° </w:t>
      </w:r>
      <w:r w:rsidR="00AE31A5" w:rsidRPr="00883E21">
        <w:rPr>
          <w:rFonts w:ascii="Garamond" w:hAnsi="Garamond" w:cstheme="majorBidi"/>
          <w:b/>
          <w:bCs/>
          <w:sz w:val="20"/>
          <w:szCs w:val="20"/>
        </w:rPr>
        <w:t>06</w:t>
      </w:r>
      <w:r w:rsidRPr="00883E21">
        <w:rPr>
          <w:rFonts w:ascii="Garamond" w:hAnsi="Garamond" w:cstheme="majorBidi"/>
          <w:b/>
          <w:bCs/>
          <w:sz w:val="20"/>
          <w:szCs w:val="20"/>
        </w:rPr>
        <w:t>: l’encadrement médical de certaines spécialités en 2013.</w:t>
      </w:r>
    </w:p>
    <w:tbl>
      <w:tblPr>
        <w:tblStyle w:val="Grilledutableau"/>
        <w:tblW w:w="9181" w:type="dxa"/>
        <w:tblLook w:val="04A0"/>
      </w:tblPr>
      <w:tblGrid>
        <w:gridCol w:w="2376"/>
        <w:gridCol w:w="1418"/>
        <w:gridCol w:w="1059"/>
        <w:gridCol w:w="1244"/>
        <w:gridCol w:w="1506"/>
        <w:gridCol w:w="1578"/>
      </w:tblGrid>
      <w:tr w:rsidR="0007582B" w:rsidRPr="00883E21" w:rsidTr="00E55FCD">
        <w:tc>
          <w:tcPr>
            <w:tcW w:w="2376" w:type="dxa"/>
          </w:tcPr>
          <w:p w:rsidR="00AE7475" w:rsidRPr="00883E21" w:rsidRDefault="00AE7475" w:rsidP="00883E21">
            <w:pPr>
              <w:jc w:val="both"/>
              <w:rPr>
                <w:rFonts w:ascii="Garamond" w:hAnsi="Garamond" w:cstheme="majorBidi"/>
                <w:sz w:val="20"/>
                <w:szCs w:val="20"/>
              </w:rPr>
            </w:pPr>
          </w:p>
        </w:tc>
        <w:tc>
          <w:tcPr>
            <w:tcW w:w="1418" w:type="dxa"/>
          </w:tcPr>
          <w:p w:rsidR="00AE7475" w:rsidRPr="00883E21" w:rsidRDefault="00AE7475" w:rsidP="00883E21">
            <w:pPr>
              <w:jc w:val="both"/>
              <w:rPr>
                <w:rFonts w:ascii="Garamond" w:hAnsi="Garamond" w:cstheme="majorBidi"/>
                <w:sz w:val="20"/>
                <w:szCs w:val="20"/>
              </w:rPr>
            </w:pPr>
            <w:r w:rsidRPr="00883E21">
              <w:rPr>
                <w:rFonts w:ascii="Garamond" w:hAnsi="Garamond" w:cstheme="majorBidi"/>
                <w:sz w:val="20"/>
                <w:szCs w:val="20"/>
              </w:rPr>
              <w:t xml:space="preserve">Région centre </w:t>
            </w:r>
          </w:p>
        </w:tc>
        <w:tc>
          <w:tcPr>
            <w:tcW w:w="1059" w:type="dxa"/>
          </w:tcPr>
          <w:p w:rsidR="00AE7475" w:rsidRPr="00883E21" w:rsidRDefault="00AE7475" w:rsidP="00883E21">
            <w:pPr>
              <w:jc w:val="both"/>
              <w:rPr>
                <w:rFonts w:ascii="Garamond" w:hAnsi="Garamond" w:cstheme="majorBidi"/>
                <w:sz w:val="20"/>
                <w:szCs w:val="20"/>
              </w:rPr>
            </w:pPr>
            <w:r w:rsidRPr="00883E21">
              <w:rPr>
                <w:rFonts w:ascii="Garamond" w:hAnsi="Garamond" w:cstheme="majorBidi"/>
                <w:sz w:val="20"/>
                <w:szCs w:val="20"/>
              </w:rPr>
              <w:t xml:space="preserve">Région est </w:t>
            </w:r>
          </w:p>
        </w:tc>
        <w:tc>
          <w:tcPr>
            <w:tcW w:w="1244" w:type="dxa"/>
          </w:tcPr>
          <w:p w:rsidR="00AE7475" w:rsidRPr="00883E21" w:rsidRDefault="00AE7475" w:rsidP="00883E21">
            <w:pPr>
              <w:jc w:val="both"/>
              <w:rPr>
                <w:rFonts w:ascii="Garamond" w:hAnsi="Garamond" w:cstheme="majorBidi"/>
                <w:sz w:val="20"/>
                <w:szCs w:val="20"/>
              </w:rPr>
            </w:pPr>
            <w:r w:rsidRPr="00883E21">
              <w:rPr>
                <w:rFonts w:ascii="Garamond" w:hAnsi="Garamond" w:cstheme="majorBidi"/>
                <w:sz w:val="20"/>
                <w:szCs w:val="20"/>
              </w:rPr>
              <w:t xml:space="preserve">Région ouest </w:t>
            </w:r>
          </w:p>
        </w:tc>
        <w:tc>
          <w:tcPr>
            <w:tcW w:w="1506" w:type="dxa"/>
          </w:tcPr>
          <w:p w:rsidR="00AE7475" w:rsidRPr="00883E21" w:rsidRDefault="00AE7475" w:rsidP="00883E21">
            <w:pPr>
              <w:jc w:val="both"/>
              <w:rPr>
                <w:rFonts w:ascii="Garamond" w:hAnsi="Garamond" w:cstheme="majorBidi"/>
                <w:sz w:val="20"/>
                <w:szCs w:val="20"/>
              </w:rPr>
            </w:pPr>
            <w:r w:rsidRPr="00883E21">
              <w:rPr>
                <w:rFonts w:ascii="Garamond" w:hAnsi="Garamond" w:cstheme="majorBidi"/>
                <w:sz w:val="20"/>
                <w:szCs w:val="20"/>
              </w:rPr>
              <w:t>Région sud est</w:t>
            </w:r>
          </w:p>
        </w:tc>
        <w:tc>
          <w:tcPr>
            <w:tcW w:w="1578" w:type="dxa"/>
          </w:tcPr>
          <w:p w:rsidR="00AE7475" w:rsidRPr="00883E21" w:rsidRDefault="00AE7475" w:rsidP="00883E21">
            <w:pPr>
              <w:jc w:val="both"/>
              <w:rPr>
                <w:rFonts w:ascii="Garamond" w:hAnsi="Garamond" w:cstheme="majorBidi"/>
                <w:sz w:val="20"/>
                <w:szCs w:val="20"/>
              </w:rPr>
            </w:pPr>
            <w:r w:rsidRPr="00883E21">
              <w:rPr>
                <w:rFonts w:ascii="Garamond" w:hAnsi="Garamond" w:cstheme="majorBidi"/>
                <w:sz w:val="20"/>
                <w:szCs w:val="20"/>
              </w:rPr>
              <w:t>Région sud ouest</w:t>
            </w:r>
          </w:p>
        </w:tc>
      </w:tr>
      <w:tr w:rsidR="0007582B" w:rsidRPr="00883E21" w:rsidTr="00E55FCD">
        <w:tc>
          <w:tcPr>
            <w:tcW w:w="2376" w:type="dxa"/>
          </w:tcPr>
          <w:p w:rsidR="00AE7475" w:rsidRPr="00883E21" w:rsidRDefault="00AE7475" w:rsidP="00883E21">
            <w:pPr>
              <w:jc w:val="both"/>
              <w:rPr>
                <w:rFonts w:ascii="Garamond" w:hAnsi="Garamond" w:cstheme="majorBidi"/>
                <w:sz w:val="20"/>
                <w:szCs w:val="20"/>
              </w:rPr>
            </w:pPr>
            <w:r w:rsidRPr="00883E21">
              <w:rPr>
                <w:rFonts w:ascii="Garamond" w:hAnsi="Garamond" w:cstheme="majorBidi"/>
                <w:sz w:val="20"/>
                <w:szCs w:val="20"/>
              </w:rPr>
              <w:t xml:space="preserve">Cardiologue </w:t>
            </w:r>
          </w:p>
        </w:tc>
        <w:tc>
          <w:tcPr>
            <w:tcW w:w="1418" w:type="dxa"/>
          </w:tcPr>
          <w:p w:rsidR="00AE7475" w:rsidRPr="00883E21" w:rsidRDefault="00CD1E26" w:rsidP="00883E21">
            <w:pPr>
              <w:jc w:val="both"/>
              <w:rPr>
                <w:rFonts w:ascii="Garamond" w:hAnsi="Garamond" w:cstheme="majorBidi"/>
                <w:sz w:val="20"/>
                <w:szCs w:val="20"/>
              </w:rPr>
            </w:pPr>
            <w:r w:rsidRPr="00883E21">
              <w:rPr>
                <w:rFonts w:ascii="Garamond" w:hAnsi="Garamond" w:cstheme="majorBidi"/>
                <w:sz w:val="20"/>
                <w:szCs w:val="20"/>
              </w:rPr>
              <w:t>275</w:t>
            </w:r>
          </w:p>
        </w:tc>
        <w:tc>
          <w:tcPr>
            <w:tcW w:w="1059" w:type="dxa"/>
          </w:tcPr>
          <w:p w:rsidR="00AE7475" w:rsidRPr="00883E21" w:rsidRDefault="00CD1E26" w:rsidP="00883E21">
            <w:pPr>
              <w:jc w:val="both"/>
              <w:rPr>
                <w:rFonts w:ascii="Garamond" w:hAnsi="Garamond" w:cstheme="majorBidi"/>
                <w:sz w:val="20"/>
                <w:szCs w:val="20"/>
              </w:rPr>
            </w:pPr>
            <w:r w:rsidRPr="00883E21">
              <w:rPr>
                <w:rFonts w:ascii="Garamond" w:hAnsi="Garamond" w:cstheme="majorBidi"/>
                <w:sz w:val="20"/>
                <w:szCs w:val="20"/>
              </w:rPr>
              <w:t>95</w:t>
            </w:r>
          </w:p>
        </w:tc>
        <w:tc>
          <w:tcPr>
            <w:tcW w:w="1244" w:type="dxa"/>
          </w:tcPr>
          <w:p w:rsidR="00AE7475" w:rsidRPr="00883E21" w:rsidRDefault="00CD1E26" w:rsidP="00883E21">
            <w:pPr>
              <w:jc w:val="both"/>
              <w:rPr>
                <w:rFonts w:ascii="Garamond" w:hAnsi="Garamond" w:cstheme="majorBidi"/>
                <w:sz w:val="20"/>
                <w:szCs w:val="20"/>
              </w:rPr>
            </w:pPr>
            <w:r w:rsidRPr="00883E21">
              <w:rPr>
                <w:rFonts w:ascii="Garamond" w:hAnsi="Garamond" w:cstheme="majorBidi"/>
                <w:sz w:val="20"/>
                <w:szCs w:val="20"/>
              </w:rPr>
              <w:t>108</w:t>
            </w:r>
          </w:p>
        </w:tc>
        <w:tc>
          <w:tcPr>
            <w:tcW w:w="1506" w:type="dxa"/>
          </w:tcPr>
          <w:p w:rsidR="00AE7475" w:rsidRPr="00883E21" w:rsidRDefault="00CD1E26" w:rsidP="00883E21">
            <w:pPr>
              <w:jc w:val="both"/>
              <w:rPr>
                <w:rFonts w:ascii="Garamond" w:hAnsi="Garamond" w:cstheme="majorBidi"/>
                <w:sz w:val="20"/>
                <w:szCs w:val="20"/>
              </w:rPr>
            </w:pPr>
            <w:r w:rsidRPr="00883E21">
              <w:rPr>
                <w:rFonts w:ascii="Garamond" w:hAnsi="Garamond" w:cstheme="majorBidi"/>
                <w:sz w:val="20"/>
                <w:szCs w:val="20"/>
              </w:rPr>
              <w:t>28</w:t>
            </w:r>
          </w:p>
        </w:tc>
        <w:tc>
          <w:tcPr>
            <w:tcW w:w="1578" w:type="dxa"/>
          </w:tcPr>
          <w:p w:rsidR="00AE7475" w:rsidRPr="00883E21" w:rsidRDefault="00CD1E26" w:rsidP="00883E21">
            <w:pPr>
              <w:jc w:val="both"/>
              <w:rPr>
                <w:rFonts w:ascii="Garamond" w:hAnsi="Garamond" w:cstheme="majorBidi"/>
                <w:sz w:val="20"/>
                <w:szCs w:val="20"/>
              </w:rPr>
            </w:pPr>
            <w:r w:rsidRPr="00883E21">
              <w:rPr>
                <w:rFonts w:ascii="Garamond" w:hAnsi="Garamond" w:cstheme="majorBidi"/>
                <w:sz w:val="20"/>
                <w:szCs w:val="20"/>
              </w:rPr>
              <w:t>11</w:t>
            </w:r>
          </w:p>
        </w:tc>
      </w:tr>
      <w:tr w:rsidR="0007582B" w:rsidRPr="00883E21" w:rsidTr="00E55FCD">
        <w:tc>
          <w:tcPr>
            <w:tcW w:w="2376" w:type="dxa"/>
          </w:tcPr>
          <w:p w:rsidR="006E0DC0"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 xml:space="preserve">1 cardiologue pour </w:t>
            </w:r>
          </w:p>
        </w:tc>
        <w:tc>
          <w:tcPr>
            <w:tcW w:w="1418" w:type="dxa"/>
          </w:tcPr>
          <w:p w:rsidR="006E0DC0"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45 343</w:t>
            </w:r>
            <w:r w:rsidR="006E0DC0" w:rsidRPr="00883E21">
              <w:rPr>
                <w:rFonts w:ascii="Garamond" w:hAnsi="Garamond" w:cstheme="majorBidi"/>
                <w:sz w:val="20"/>
                <w:szCs w:val="20"/>
              </w:rPr>
              <w:t xml:space="preserve"> H</w:t>
            </w:r>
          </w:p>
        </w:tc>
        <w:tc>
          <w:tcPr>
            <w:tcW w:w="1059" w:type="dxa"/>
          </w:tcPr>
          <w:p w:rsidR="006E0DC0"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105 922</w:t>
            </w:r>
            <w:r w:rsidR="006E0DC0" w:rsidRPr="00883E21">
              <w:rPr>
                <w:rFonts w:ascii="Garamond" w:hAnsi="Garamond" w:cstheme="majorBidi"/>
                <w:sz w:val="20"/>
                <w:szCs w:val="20"/>
              </w:rPr>
              <w:t>H</w:t>
            </w:r>
          </w:p>
        </w:tc>
        <w:tc>
          <w:tcPr>
            <w:tcW w:w="1244" w:type="dxa"/>
          </w:tcPr>
          <w:p w:rsidR="006E0DC0"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82</w:t>
            </w:r>
            <w:r w:rsidR="0007582B" w:rsidRPr="00883E21">
              <w:rPr>
                <w:rFonts w:ascii="Garamond" w:hAnsi="Garamond" w:cstheme="majorBidi"/>
                <w:sz w:val="20"/>
                <w:szCs w:val="20"/>
              </w:rPr>
              <w:t> </w:t>
            </w:r>
            <w:r w:rsidRPr="00883E21">
              <w:rPr>
                <w:rFonts w:ascii="Garamond" w:hAnsi="Garamond" w:cstheme="majorBidi"/>
                <w:sz w:val="20"/>
                <w:szCs w:val="20"/>
              </w:rPr>
              <w:t>100</w:t>
            </w:r>
            <w:r w:rsidR="0007582B" w:rsidRPr="00883E21">
              <w:rPr>
                <w:rFonts w:ascii="Garamond" w:hAnsi="Garamond" w:cstheme="majorBidi"/>
                <w:sz w:val="20"/>
                <w:szCs w:val="20"/>
              </w:rPr>
              <w:t xml:space="preserve"> H</w:t>
            </w:r>
          </w:p>
        </w:tc>
        <w:tc>
          <w:tcPr>
            <w:tcW w:w="1506" w:type="dxa"/>
          </w:tcPr>
          <w:p w:rsidR="006E0DC0"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122</w:t>
            </w:r>
            <w:r w:rsidR="0007582B" w:rsidRPr="00883E21">
              <w:rPr>
                <w:rFonts w:ascii="Garamond" w:hAnsi="Garamond" w:cstheme="majorBidi"/>
                <w:sz w:val="20"/>
                <w:szCs w:val="20"/>
              </w:rPr>
              <w:t xml:space="preserve"> </w:t>
            </w:r>
            <w:r w:rsidRPr="00883E21">
              <w:rPr>
                <w:rFonts w:ascii="Garamond" w:hAnsi="Garamond" w:cstheme="majorBidi"/>
                <w:sz w:val="20"/>
                <w:szCs w:val="20"/>
              </w:rPr>
              <w:t>404</w:t>
            </w:r>
          </w:p>
        </w:tc>
        <w:tc>
          <w:tcPr>
            <w:tcW w:w="1578" w:type="dxa"/>
          </w:tcPr>
          <w:p w:rsidR="006E0DC0"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121</w:t>
            </w:r>
            <w:r w:rsidR="0007582B" w:rsidRPr="00883E21">
              <w:rPr>
                <w:rFonts w:ascii="Garamond" w:hAnsi="Garamond" w:cstheme="majorBidi"/>
                <w:sz w:val="20"/>
                <w:szCs w:val="20"/>
              </w:rPr>
              <w:t xml:space="preserve"> </w:t>
            </w:r>
            <w:r w:rsidRPr="00883E21">
              <w:rPr>
                <w:rFonts w:ascii="Garamond" w:hAnsi="Garamond" w:cstheme="majorBidi"/>
                <w:sz w:val="20"/>
                <w:szCs w:val="20"/>
              </w:rPr>
              <w:t>104</w:t>
            </w:r>
          </w:p>
        </w:tc>
      </w:tr>
      <w:tr w:rsidR="0007582B" w:rsidRPr="00883E21" w:rsidTr="00E55FCD">
        <w:tc>
          <w:tcPr>
            <w:tcW w:w="2376" w:type="dxa"/>
          </w:tcPr>
          <w:p w:rsidR="00CD1E26" w:rsidRPr="00883E21" w:rsidRDefault="00CD1E26" w:rsidP="007A6408">
            <w:pPr>
              <w:ind w:right="-108"/>
              <w:jc w:val="both"/>
              <w:rPr>
                <w:rFonts w:ascii="Garamond" w:hAnsi="Garamond" w:cstheme="majorBidi"/>
                <w:sz w:val="20"/>
                <w:szCs w:val="20"/>
              </w:rPr>
            </w:pPr>
            <w:r w:rsidRPr="00883E21">
              <w:rPr>
                <w:rFonts w:ascii="Garamond" w:hAnsi="Garamond" w:cstheme="majorBidi"/>
                <w:sz w:val="20"/>
                <w:szCs w:val="20"/>
              </w:rPr>
              <w:t xml:space="preserve">Diabeto-endocrinologue </w:t>
            </w:r>
          </w:p>
        </w:tc>
        <w:tc>
          <w:tcPr>
            <w:tcW w:w="1418" w:type="dxa"/>
          </w:tcPr>
          <w:p w:rsidR="00CD1E26" w:rsidRPr="00883E21" w:rsidRDefault="00CD1E26" w:rsidP="00883E21">
            <w:pPr>
              <w:jc w:val="both"/>
              <w:rPr>
                <w:rFonts w:ascii="Garamond" w:hAnsi="Garamond" w:cstheme="majorBidi"/>
                <w:sz w:val="20"/>
                <w:szCs w:val="20"/>
              </w:rPr>
            </w:pPr>
            <w:r w:rsidRPr="00883E21">
              <w:rPr>
                <w:rFonts w:ascii="Garamond" w:hAnsi="Garamond" w:cstheme="majorBidi"/>
                <w:sz w:val="20"/>
                <w:szCs w:val="20"/>
              </w:rPr>
              <w:t>357</w:t>
            </w:r>
          </w:p>
        </w:tc>
        <w:tc>
          <w:tcPr>
            <w:tcW w:w="1059" w:type="dxa"/>
          </w:tcPr>
          <w:p w:rsidR="00CD1E26" w:rsidRPr="00883E21" w:rsidRDefault="00CD1E26" w:rsidP="00883E21">
            <w:pPr>
              <w:jc w:val="both"/>
              <w:rPr>
                <w:rFonts w:ascii="Garamond" w:hAnsi="Garamond" w:cstheme="majorBidi"/>
                <w:sz w:val="20"/>
                <w:szCs w:val="20"/>
              </w:rPr>
            </w:pPr>
            <w:r w:rsidRPr="00883E21">
              <w:rPr>
                <w:rFonts w:ascii="Garamond" w:hAnsi="Garamond" w:cstheme="majorBidi"/>
                <w:sz w:val="20"/>
                <w:szCs w:val="20"/>
              </w:rPr>
              <w:t>126</w:t>
            </w:r>
          </w:p>
        </w:tc>
        <w:tc>
          <w:tcPr>
            <w:tcW w:w="1244" w:type="dxa"/>
          </w:tcPr>
          <w:p w:rsidR="00CD1E26" w:rsidRPr="00883E21" w:rsidRDefault="00CD1E26" w:rsidP="00883E21">
            <w:pPr>
              <w:jc w:val="both"/>
              <w:rPr>
                <w:rFonts w:ascii="Garamond" w:hAnsi="Garamond" w:cstheme="majorBidi"/>
                <w:sz w:val="20"/>
                <w:szCs w:val="20"/>
              </w:rPr>
            </w:pPr>
            <w:r w:rsidRPr="00883E21">
              <w:rPr>
                <w:rFonts w:ascii="Garamond" w:hAnsi="Garamond" w:cstheme="majorBidi"/>
                <w:sz w:val="20"/>
                <w:szCs w:val="20"/>
              </w:rPr>
              <w:t>82</w:t>
            </w:r>
          </w:p>
        </w:tc>
        <w:tc>
          <w:tcPr>
            <w:tcW w:w="1506" w:type="dxa"/>
          </w:tcPr>
          <w:p w:rsidR="00CD1E26" w:rsidRPr="00883E21" w:rsidRDefault="002913B1" w:rsidP="00883E21">
            <w:pPr>
              <w:jc w:val="both"/>
              <w:rPr>
                <w:rFonts w:ascii="Garamond" w:hAnsi="Garamond" w:cstheme="majorBidi"/>
                <w:sz w:val="20"/>
                <w:szCs w:val="20"/>
              </w:rPr>
            </w:pPr>
            <w:r w:rsidRPr="00883E21">
              <w:rPr>
                <w:rFonts w:ascii="Garamond" w:hAnsi="Garamond" w:cstheme="majorBidi"/>
                <w:sz w:val="20"/>
                <w:szCs w:val="20"/>
              </w:rPr>
              <w:t>6</w:t>
            </w:r>
          </w:p>
        </w:tc>
        <w:tc>
          <w:tcPr>
            <w:tcW w:w="1578" w:type="dxa"/>
          </w:tcPr>
          <w:p w:rsidR="00CD1E26" w:rsidRPr="00883E21" w:rsidRDefault="002913B1" w:rsidP="00883E21">
            <w:pPr>
              <w:jc w:val="both"/>
              <w:rPr>
                <w:rFonts w:ascii="Garamond" w:hAnsi="Garamond" w:cstheme="majorBidi"/>
                <w:sz w:val="20"/>
                <w:szCs w:val="20"/>
              </w:rPr>
            </w:pPr>
            <w:r w:rsidRPr="00883E21">
              <w:rPr>
                <w:rFonts w:ascii="Garamond" w:hAnsi="Garamond" w:cstheme="majorBidi"/>
                <w:sz w:val="20"/>
                <w:szCs w:val="20"/>
              </w:rPr>
              <w:t>6</w:t>
            </w:r>
          </w:p>
        </w:tc>
      </w:tr>
      <w:tr w:rsidR="0007582B" w:rsidRPr="00883E21" w:rsidTr="00E55FCD">
        <w:tc>
          <w:tcPr>
            <w:tcW w:w="2376" w:type="dxa"/>
          </w:tcPr>
          <w:p w:rsidR="0007582B" w:rsidRPr="00883E21" w:rsidRDefault="007A6408" w:rsidP="00883E21">
            <w:pPr>
              <w:jc w:val="both"/>
              <w:rPr>
                <w:rFonts w:ascii="Garamond" w:hAnsi="Garamond" w:cstheme="majorBidi"/>
                <w:sz w:val="20"/>
                <w:szCs w:val="20"/>
              </w:rPr>
            </w:pPr>
            <w:r>
              <w:rPr>
                <w:rFonts w:ascii="Garamond" w:hAnsi="Garamond" w:cstheme="majorBidi"/>
                <w:sz w:val="20"/>
                <w:szCs w:val="20"/>
              </w:rPr>
              <w:t>1 diabe</w:t>
            </w:r>
            <w:r w:rsidR="0007582B" w:rsidRPr="00883E21">
              <w:rPr>
                <w:rFonts w:ascii="Garamond" w:hAnsi="Garamond" w:cstheme="majorBidi"/>
                <w:sz w:val="20"/>
                <w:szCs w:val="20"/>
              </w:rPr>
              <w:t>to-</w:t>
            </w:r>
            <w:r w:rsidRPr="00883E21">
              <w:rPr>
                <w:rFonts w:ascii="Garamond" w:hAnsi="Garamond" w:cstheme="majorBidi"/>
                <w:sz w:val="20"/>
                <w:szCs w:val="20"/>
              </w:rPr>
              <w:t>endocrinologue</w:t>
            </w:r>
            <w:r w:rsidR="0007582B" w:rsidRPr="00883E21">
              <w:rPr>
                <w:rFonts w:ascii="Garamond" w:hAnsi="Garamond" w:cstheme="majorBidi"/>
                <w:sz w:val="20"/>
                <w:szCs w:val="20"/>
              </w:rPr>
              <w:t xml:space="preserve"> pour </w:t>
            </w:r>
          </w:p>
        </w:tc>
        <w:tc>
          <w:tcPr>
            <w:tcW w:w="1418"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34 834H</w:t>
            </w:r>
          </w:p>
        </w:tc>
        <w:tc>
          <w:tcPr>
            <w:tcW w:w="1059"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79 862H</w:t>
            </w:r>
          </w:p>
        </w:tc>
        <w:tc>
          <w:tcPr>
            <w:tcW w:w="1244"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108 132H</w:t>
            </w:r>
          </w:p>
        </w:tc>
        <w:tc>
          <w:tcPr>
            <w:tcW w:w="1506"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571 219H</w:t>
            </w:r>
          </w:p>
        </w:tc>
        <w:tc>
          <w:tcPr>
            <w:tcW w:w="1578"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222 024H</w:t>
            </w:r>
          </w:p>
        </w:tc>
      </w:tr>
      <w:tr w:rsidR="0007582B" w:rsidRPr="00883E21" w:rsidTr="00E55FCD">
        <w:tc>
          <w:tcPr>
            <w:tcW w:w="2376" w:type="dxa"/>
          </w:tcPr>
          <w:p w:rsidR="00CD1E26"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 xml:space="preserve">Hématologues </w:t>
            </w:r>
          </w:p>
        </w:tc>
        <w:tc>
          <w:tcPr>
            <w:tcW w:w="1418" w:type="dxa"/>
          </w:tcPr>
          <w:p w:rsidR="00CD1E26" w:rsidRPr="00883E21" w:rsidRDefault="00E62F85" w:rsidP="00883E21">
            <w:pPr>
              <w:jc w:val="both"/>
              <w:rPr>
                <w:rFonts w:ascii="Garamond" w:hAnsi="Garamond" w:cstheme="majorBidi"/>
                <w:sz w:val="20"/>
                <w:szCs w:val="20"/>
              </w:rPr>
            </w:pPr>
            <w:r w:rsidRPr="00883E21">
              <w:rPr>
                <w:rFonts w:ascii="Garamond" w:hAnsi="Garamond" w:cstheme="majorBidi"/>
                <w:sz w:val="20"/>
                <w:szCs w:val="20"/>
              </w:rPr>
              <w:t>210</w:t>
            </w:r>
          </w:p>
        </w:tc>
        <w:tc>
          <w:tcPr>
            <w:tcW w:w="1059" w:type="dxa"/>
          </w:tcPr>
          <w:p w:rsidR="00CD1E26" w:rsidRPr="00883E21" w:rsidRDefault="00E62F85" w:rsidP="00883E21">
            <w:pPr>
              <w:jc w:val="both"/>
              <w:rPr>
                <w:rFonts w:ascii="Garamond" w:hAnsi="Garamond" w:cstheme="majorBidi"/>
                <w:sz w:val="20"/>
                <w:szCs w:val="20"/>
              </w:rPr>
            </w:pPr>
            <w:r w:rsidRPr="00883E21">
              <w:rPr>
                <w:rFonts w:ascii="Garamond" w:hAnsi="Garamond" w:cstheme="majorBidi"/>
                <w:sz w:val="20"/>
                <w:szCs w:val="20"/>
              </w:rPr>
              <w:t>58</w:t>
            </w:r>
          </w:p>
        </w:tc>
        <w:tc>
          <w:tcPr>
            <w:tcW w:w="1244" w:type="dxa"/>
          </w:tcPr>
          <w:p w:rsidR="00CD1E26" w:rsidRPr="00883E21" w:rsidRDefault="00E62F85" w:rsidP="00883E21">
            <w:pPr>
              <w:jc w:val="both"/>
              <w:rPr>
                <w:rFonts w:ascii="Garamond" w:hAnsi="Garamond" w:cstheme="majorBidi"/>
                <w:sz w:val="20"/>
                <w:szCs w:val="20"/>
              </w:rPr>
            </w:pPr>
            <w:r w:rsidRPr="00883E21">
              <w:rPr>
                <w:rFonts w:ascii="Garamond" w:hAnsi="Garamond" w:cstheme="majorBidi"/>
                <w:sz w:val="20"/>
                <w:szCs w:val="20"/>
              </w:rPr>
              <w:t>122</w:t>
            </w:r>
          </w:p>
        </w:tc>
        <w:tc>
          <w:tcPr>
            <w:tcW w:w="1506" w:type="dxa"/>
          </w:tcPr>
          <w:p w:rsidR="00CD1E26" w:rsidRPr="00883E21" w:rsidRDefault="00E62F85" w:rsidP="00883E21">
            <w:pPr>
              <w:jc w:val="both"/>
              <w:rPr>
                <w:rFonts w:ascii="Garamond" w:hAnsi="Garamond" w:cstheme="majorBidi"/>
                <w:sz w:val="20"/>
                <w:szCs w:val="20"/>
              </w:rPr>
            </w:pPr>
            <w:r w:rsidRPr="00883E21">
              <w:rPr>
                <w:rFonts w:ascii="Garamond" w:hAnsi="Garamond" w:cstheme="majorBidi"/>
                <w:sz w:val="20"/>
                <w:szCs w:val="20"/>
              </w:rPr>
              <w:t>15</w:t>
            </w:r>
          </w:p>
        </w:tc>
        <w:tc>
          <w:tcPr>
            <w:tcW w:w="1578" w:type="dxa"/>
          </w:tcPr>
          <w:p w:rsidR="00CD1E26" w:rsidRPr="00883E21" w:rsidRDefault="00E62F85" w:rsidP="00883E21">
            <w:pPr>
              <w:jc w:val="both"/>
              <w:rPr>
                <w:rFonts w:ascii="Garamond" w:hAnsi="Garamond" w:cstheme="majorBidi"/>
                <w:sz w:val="20"/>
                <w:szCs w:val="20"/>
              </w:rPr>
            </w:pPr>
            <w:r w:rsidRPr="00883E21">
              <w:rPr>
                <w:rFonts w:ascii="Garamond" w:hAnsi="Garamond" w:cstheme="majorBidi"/>
                <w:sz w:val="20"/>
                <w:szCs w:val="20"/>
              </w:rPr>
              <w:t>14</w:t>
            </w:r>
          </w:p>
        </w:tc>
      </w:tr>
      <w:tr w:rsidR="0007582B" w:rsidRPr="00883E21" w:rsidTr="00E55FCD">
        <w:tc>
          <w:tcPr>
            <w:tcW w:w="2376"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 xml:space="preserve">1 hématologue pour </w:t>
            </w:r>
          </w:p>
        </w:tc>
        <w:tc>
          <w:tcPr>
            <w:tcW w:w="1418"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59 218H</w:t>
            </w:r>
          </w:p>
        </w:tc>
        <w:tc>
          <w:tcPr>
            <w:tcW w:w="1059"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173 493H</w:t>
            </w:r>
          </w:p>
        </w:tc>
        <w:tc>
          <w:tcPr>
            <w:tcW w:w="1244"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72 679H</w:t>
            </w:r>
          </w:p>
        </w:tc>
        <w:tc>
          <w:tcPr>
            <w:tcW w:w="1506"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228 488H</w:t>
            </w:r>
          </w:p>
        </w:tc>
        <w:tc>
          <w:tcPr>
            <w:tcW w:w="1578"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95 153H</w:t>
            </w:r>
          </w:p>
        </w:tc>
      </w:tr>
      <w:tr w:rsidR="0007582B" w:rsidRPr="00883E21" w:rsidTr="00E55FCD">
        <w:tc>
          <w:tcPr>
            <w:tcW w:w="2376" w:type="dxa"/>
          </w:tcPr>
          <w:p w:rsidR="00CD1E26"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 xml:space="preserve">Cancérologue </w:t>
            </w:r>
          </w:p>
        </w:tc>
        <w:tc>
          <w:tcPr>
            <w:tcW w:w="1418" w:type="dxa"/>
          </w:tcPr>
          <w:p w:rsidR="00CD1E26"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110</w:t>
            </w:r>
          </w:p>
        </w:tc>
        <w:tc>
          <w:tcPr>
            <w:tcW w:w="1059" w:type="dxa"/>
          </w:tcPr>
          <w:p w:rsidR="00CD1E26"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35</w:t>
            </w:r>
          </w:p>
        </w:tc>
        <w:tc>
          <w:tcPr>
            <w:tcW w:w="1244" w:type="dxa"/>
          </w:tcPr>
          <w:p w:rsidR="00CD1E26"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48</w:t>
            </w:r>
          </w:p>
        </w:tc>
        <w:tc>
          <w:tcPr>
            <w:tcW w:w="1506" w:type="dxa"/>
          </w:tcPr>
          <w:p w:rsidR="00CD1E26"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0</w:t>
            </w:r>
          </w:p>
        </w:tc>
        <w:tc>
          <w:tcPr>
            <w:tcW w:w="1578" w:type="dxa"/>
          </w:tcPr>
          <w:p w:rsidR="00CD1E26" w:rsidRPr="00883E21" w:rsidRDefault="006E0DC0" w:rsidP="00883E21">
            <w:pPr>
              <w:jc w:val="both"/>
              <w:rPr>
                <w:rFonts w:ascii="Garamond" w:hAnsi="Garamond" w:cstheme="majorBidi"/>
                <w:sz w:val="20"/>
                <w:szCs w:val="20"/>
              </w:rPr>
            </w:pPr>
            <w:r w:rsidRPr="00883E21">
              <w:rPr>
                <w:rFonts w:ascii="Garamond" w:hAnsi="Garamond" w:cstheme="majorBidi"/>
                <w:sz w:val="20"/>
                <w:szCs w:val="20"/>
              </w:rPr>
              <w:t>0</w:t>
            </w:r>
          </w:p>
        </w:tc>
      </w:tr>
      <w:tr w:rsidR="0007582B" w:rsidRPr="00883E21" w:rsidTr="00E55FCD">
        <w:tc>
          <w:tcPr>
            <w:tcW w:w="2376"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 xml:space="preserve">1 cancérologue pour </w:t>
            </w:r>
          </w:p>
        </w:tc>
        <w:tc>
          <w:tcPr>
            <w:tcW w:w="1418"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113 053H</w:t>
            </w:r>
          </w:p>
        </w:tc>
        <w:tc>
          <w:tcPr>
            <w:tcW w:w="1059"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287 503H</w:t>
            </w:r>
          </w:p>
        </w:tc>
        <w:tc>
          <w:tcPr>
            <w:tcW w:w="1244"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184 725H</w:t>
            </w:r>
          </w:p>
        </w:tc>
        <w:tc>
          <w:tcPr>
            <w:tcW w:w="1506"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w:t>
            </w:r>
          </w:p>
        </w:tc>
        <w:tc>
          <w:tcPr>
            <w:tcW w:w="1578" w:type="dxa"/>
          </w:tcPr>
          <w:p w:rsidR="0007582B" w:rsidRPr="00883E21" w:rsidRDefault="0007582B" w:rsidP="00883E21">
            <w:pPr>
              <w:jc w:val="both"/>
              <w:rPr>
                <w:rFonts w:ascii="Garamond" w:hAnsi="Garamond" w:cstheme="majorBidi"/>
                <w:sz w:val="20"/>
                <w:szCs w:val="20"/>
              </w:rPr>
            </w:pPr>
            <w:r w:rsidRPr="00883E21">
              <w:rPr>
                <w:rFonts w:ascii="Garamond" w:hAnsi="Garamond" w:cstheme="majorBidi"/>
                <w:sz w:val="20"/>
                <w:szCs w:val="20"/>
              </w:rPr>
              <w:t>-</w:t>
            </w:r>
          </w:p>
        </w:tc>
      </w:tr>
    </w:tbl>
    <w:p w:rsidR="00AE7475" w:rsidRPr="00B44991" w:rsidRDefault="00AE4DA6" w:rsidP="00883E21">
      <w:pPr>
        <w:spacing w:after="0" w:line="240" w:lineRule="auto"/>
        <w:jc w:val="both"/>
        <w:rPr>
          <w:rFonts w:asciiTheme="minorBidi" w:hAnsiTheme="minorBidi"/>
          <w:i/>
          <w:iCs/>
          <w:sz w:val="16"/>
          <w:szCs w:val="16"/>
        </w:rPr>
      </w:pPr>
      <w:r w:rsidRPr="00B44991">
        <w:rPr>
          <w:rFonts w:asciiTheme="minorBidi" w:hAnsiTheme="minorBidi"/>
          <w:i/>
          <w:iCs/>
          <w:sz w:val="16"/>
          <w:szCs w:val="16"/>
        </w:rPr>
        <w:t>Source : rat</w:t>
      </w:r>
      <w:r w:rsidR="00B44991" w:rsidRPr="00B44991">
        <w:rPr>
          <w:rFonts w:asciiTheme="minorBidi" w:hAnsiTheme="minorBidi"/>
          <w:i/>
          <w:iCs/>
          <w:sz w:val="16"/>
          <w:szCs w:val="16"/>
        </w:rPr>
        <w:t>i</w:t>
      </w:r>
      <w:r w:rsidRPr="00B44991">
        <w:rPr>
          <w:rFonts w:asciiTheme="minorBidi" w:hAnsiTheme="minorBidi"/>
          <w:i/>
          <w:iCs/>
          <w:sz w:val="16"/>
          <w:szCs w:val="16"/>
        </w:rPr>
        <w:t>os calculés par nos soins à partir des données du MSPRH.</w:t>
      </w:r>
    </w:p>
    <w:p w:rsidR="00814843" w:rsidRPr="00883E21" w:rsidRDefault="00814843" w:rsidP="00883E21">
      <w:pPr>
        <w:spacing w:after="0" w:line="240" w:lineRule="auto"/>
        <w:jc w:val="both"/>
        <w:rPr>
          <w:rFonts w:ascii="Garamond" w:hAnsi="Garamond" w:cstheme="majorBidi"/>
          <w:sz w:val="20"/>
          <w:szCs w:val="20"/>
        </w:rPr>
      </w:pPr>
    </w:p>
    <w:p w:rsidR="00AE4DA6" w:rsidRPr="00883E21" w:rsidRDefault="00AE4DA6"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L’encadrement médical est très mal réparti sur le territoire national, pour le diabète par exemple, deuxième maladie chronique en Algérie avec plus de 12% de la population touchée, on compte dans la région sanitaire centre 1 diabétologue pour 34 800 habitant contre plus de 570 000Habitants au sud est. Il en est de même pour l’ensemble des maladies chronique qui croissent sans que l’encadrement médical </w:t>
      </w:r>
      <w:r w:rsidR="00C9191E" w:rsidRPr="00883E21">
        <w:rPr>
          <w:rFonts w:ascii="Garamond" w:hAnsi="Garamond" w:cstheme="majorBidi"/>
          <w:sz w:val="20"/>
          <w:szCs w:val="20"/>
        </w:rPr>
        <w:t>suive</w:t>
      </w:r>
      <w:r w:rsidRPr="00883E21">
        <w:rPr>
          <w:rFonts w:ascii="Garamond" w:hAnsi="Garamond" w:cstheme="majorBidi"/>
          <w:sz w:val="20"/>
          <w:szCs w:val="20"/>
        </w:rPr>
        <w:t xml:space="preserve"> le même rythme. Les maladies cardiaques occupent la première place de maladies chroniques alors que le taux d’encadrement oscille entre 1 cardiologue pour plus de 45 000 habitant</w:t>
      </w:r>
      <w:r w:rsidR="00C9191E" w:rsidRPr="00883E21">
        <w:rPr>
          <w:rFonts w:ascii="Garamond" w:hAnsi="Garamond" w:cstheme="majorBidi"/>
          <w:sz w:val="20"/>
          <w:szCs w:val="20"/>
        </w:rPr>
        <w:t>s</w:t>
      </w:r>
      <w:r w:rsidRPr="00883E21">
        <w:rPr>
          <w:rFonts w:ascii="Garamond" w:hAnsi="Garamond" w:cstheme="majorBidi"/>
          <w:sz w:val="20"/>
          <w:szCs w:val="20"/>
        </w:rPr>
        <w:t xml:space="preserve"> </w:t>
      </w:r>
      <w:r w:rsidR="00E55FCD">
        <w:rPr>
          <w:rFonts w:ascii="Garamond" w:hAnsi="Garamond" w:cstheme="majorBidi"/>
          <w:sz w:val="20"/>
          <w:szCs w:val="20"/>
        </w:rPr>
        <w:t xml:space="preserve">au nord centre </w:t>
      </w:r>
      <w:r w:rsidRPr="00883E21">
        <w:rPr>
          <w:rFonts w:ascii="Garamond" w:hAnsi="Garamond" w:cstheme="majorBidi"/>
          <w:sz w:val="20"/>
          <w:szCs w:val="20"/>
        </w:rPr>
        <w:t>et plus de 122 000  habitants au sud. Sans oublié que la majorité de ces médecins exercent à titre privé et dans les grandes agglomérations ce qui amplifié l’inégalité quant à l’accès aux soins</w:t>
      </w:r>
      <w:r w:rsidR="00A16C79" w:rsidRPr="00883E21">
        <w:rPr>
          <w:rFonts w:ascii="Garamond" w:hAnsi="Garamond" w:cstheme="majorBidi"/>
          <w:sz w:val="20"/>
          <w:szCs w:val="20"/>
        </w:rPr>
        <w:t xml:space="preserve"> entre les centres urbains et les régions rurales</w:t>
      </w:r>
      <w:r w:rsidR="00A16C79" w:rsidRPr="00883E21">
        <w:rPr>
          <w:rStyle w:val="Appelnotedebasdep"/>
          <w:rFonts w:ascii="Garamond" w:hAnsi="Garamond" w:cstheme="majorBidi"/>
          <w:sz w:val="20"/>
          <w:szCs w:val="20"/>
        </w:rPr>
        <w:footnoteReference w:id="18"/>
      </w:r>
      <w:r w:rsidRPr="00883E21">
        <w:rPr>
          <w:rFonts w:ascii="Garamond" w:hAnsi="Garamond" w:cstheme="majorBidi"/>
          <w:sz w:val="20"/>
          <w:szCs w:val="20"/>
        </w:rPr>
        <w:t>.</w:t>
      </w:r>
    </w:p>
    <w:p w:rsidR="00C9191E" w:rsidRPr="00883E21" w:rsidRDefault="00C9191E" w:rsidP="00883E21">
      <w:pPr>
        <w:spacing w:after="0" w:line="240" w:lineRule="auto"/>
        <w:jc w:val="both"/>
        <w:rPr>
          <w:rFonts w:ascii="Garamond" w:hAnsi="Garamond" w:cstheme="majorBidi"/>
          <w:sz w:val="20"/>
          <w:szCs w:val="20"/>
        </w:rPr>
      </w:pPr>
    </w:p>
    <w:p w:rsidR="004F1EA0" w:rsidRPr="00883E21" w:rsidRDefault="00581463" w:rsidP="00883E21">
      <w:pPr>
        <w:pStyle w:val="Paragraphedeliste"/>
        <w:numPr>
          <w:ilvl w:val="0"/>
          <w:numId w:val="5"/>
        </w:numPr>
        <w:spacing w:after="0" w:line="240" w:lineRule="auto"/>
        <w:jc w:val="both"/>
        <w:rPr>
          <w:rFonts w:ascii="Garamond" w:hAnsi="Garamond" w:cstheme="majorBidi"/>
          <w:b/>
          <w:bCs/>
          <w:sz w:val="20"/>
          <w:szCs w:val="20"/>
        </w:rPr>
      </w:pPr>
      <w:r w:rsidRPr="00883E21">
        <w:rPr>
          <w:rFonts w:ascii="Garamond" w:hAnsi="Garamond" w:cstheme="majorBidi"/>
          <w:b/>
          <w:bCs/>
          <w:sz w:val="20"/>
          <w:szCs w:val="20"/>
        </w:rPr>
        <w:t>Le financement de la santé en Algérie.</w:t>
      </w:r>
    </w:p>
    <w:p w:rsidR="004F1EA0" w:rsidRPr="00883E21" w:rsidRDefault="004F1EA0" w:rsidP="00883E21">
      <w:pPr>
        <w:spacing w:after="0" w:line="240" w:lineRule="auto"/>
        <w:jc w:val="both"/>
        <w:rPr>
          <w:rFonts w:ascii="Garamond" w:hAnsi="Garamond" w:cstheme="majorBidi"/>
          <w:sz w:val="20"/>
          <w:szCs w:val="20"/>
        </w:rPr>
      </w:pPr>
    </w:p>
    <w:p w:rsidR="00581463" w:rsidRPr="00883E21" w:rsidRDefault="00581463"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Depuis l’année 2000, le pays connait la reprise de la croissance économique grâce à la remonter des cours des hydrocarbures dans les marché internationaux et l’amélioration des recettes de l’Etat. Cette situation s’est répercutée positivement sur les ressources allouées au secteur de la santé, comme le monte l’évolution des dotations budgétaires du ministère de la santé présenté dans le tableau suivant :</w:t>
      </w:r>
    </w:p>
    <w:p w:rsidR="004F1EA0" w:rsidRPr="00883E21" w:rsidRDefault="004F1EA0" w:rsidP="00883E21">
      <w:pPr>
        <w:spacing w:after="0" w:line="240" w:lineRule="auto"/>
        <w:jc w:val="both"/>
        <w:rPr>
          <w:rFonts w:ascii="Garamond" w:hAnsi="Garamond" w:cstheme="majorBidi"/>
          <w:sz w:val="20"/>
          <w:szCs w:val="20"/>
        </w:rPr>
      </w:pPr>
    </w:p>
    <w:p w:rsidR="00581463" w:rsidRPr="00883E21" w:rsidRDefault="00581463"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Tableau n°</w:t>
      </w:r>
      <w:r w:rsidR="00AE31A5" w:rsidRPr="00883E21">
        <w:rPr>
          <w:rFonts w:ascii="Garamond" w:hAnsi="Garamond" w:cstheme="majorBidi"/>
          <w:b/>
          <w:bCs/>
          <w:sz w:val="20"/>
          <w:szCs w:val="20"/>
        </w:rPr>
        <w:t>07</w:t>
      </w:r>
      <w:r w:rsidRPr="00883E21">
        <w:rPr>
          <w:rFonts w:ascii="Garamond" w:hAnsi="Garamond" w:cstheme="majorBidi"/>
          <w:b/>
          <w:bCs/>
          <w:sz w:val="20"/>
          <w:szCs w:val="20"/>
        </w:rPr>
        <w:t> : évolution du budget de la santé (2002-2013) en KDA</w:t>
      </w:r>
    </w:p>
    <w:tbl>
      <w:tblPr>
        <w:tblStyle w:val="Grilledutableau"/>
        <w:tblW w:w="8565" w:type="dxa"/>
        <w:tblInd w:w="108" w:type="dxa"/>
        <w:tblLook w:val="04A0"/>
      </w:tblPr>
      <w:tblGrid>
        <w:gridCol w:w="1985"/>
        <w:gridCol w:w="1104"/>
        <w:gridCol w:w="966"/>
        <w:gridCol w:w="1104"/>
        <w:gridCol w:w="1104"/>
        <w:gridCol w:w="1104"/>
        <w:gridCol w:w="1198"/>
      </w:tblGrid>
      <w:tr w:rsidR="00581463" w:rsidRPr="00883E21" w:rsidTr="00644F81">
        <w:tc>
          <w:tcPr>
            <w:tcW w:w="1985"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 xml:space="preserve">Années </w:t>
            </w:r>
          </w:p>
        </w:tc>
        <w:tc>
          <w:tcPr>
            <w:tcW w:w="1104"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2002</w:t>
            </w:r>
          </w:p>
        </w:tc>
        <w:tc>
          <w:tcPr>
            <w:tcW w:w="966"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2003</w:t>
            </w:r>
          </w:p>
        </w:tc>
        <w:tc>
          <w:tcPr>
            <w:tcW w:w="1104"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2004</w:t>
            </w:r>
          </w:p>
        </w:tc>
        <w:tc>
          <w:tcPr>
            <w:tcW w:w="1104"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2005</w:t>
            </w:r>
          </w:p>
        </w:tc>
        <w:tc>
          <w:tcPr>
            <w:tcW w:w="1104"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2006</w:t>
            </w:r>
          </w:p>
        </w:tc>
        <w:tc>
          <w:tcPr>
            <w:tcW w:w="1198"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2007</w:t>
            </w:r>
          </w:p>
        </w:tc>
      </w:tr>
      <w:tr w:rsidR="00581463" w:rsidRPr="00883E21" w:rsidTr="00644F81">
        <w:tc>
          <w:tcPr>
            <w:tcW w:w="1985"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Budget de la santé en dinars courant</w:t>
            </w:r>
          </w:p>
        </w:tc>
        <w:tc>
          <w:tcPr>
            <w:tcW w:w="1104"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58940528,4</w:t>
            </w:r>
          </w:p>
        </w:tc>
        <w:tc>
          <w:tcPr>
            <w:tcW w:w="966"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66516678</w:t>
            </w:r>
          </w:p>
        </w:tc>
        <w:tc>
          <w:tcPr>
            <w:tcW w:w="1104"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76524542,4</w:t>
            </w:r>
          </w:p>
        </w:tc>
        <w:tc>
          <w:tcPr>
            <w:tcW w:w="1104"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74953143,6</w:t>
            </w:r>
          </w:p>
        </w:tc>
        <w:tc>
          <w:tcPr>
            <w:tcW w:w="1104"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84378331,2</w:t>
            </w:r>
          </w:p>
        </w:tc>
        <w:tc>
          <w:tcPr>
            <w:tcW w:w="1198"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112263559,2</w:t>
            </w:r>
          </w:p>
        </w:tc>
      </w:tr>
    </w:tbl>
    <w:p w:rsidR="00581463" w:rsidRPr="00B44991" w:rsidRDefault="00581463" w:rsidP="00883E21">
      <w:pPr>
        <w:spacing w:after="0" w:line="240" w:lineRule="auto"/>
        <w:jc w:val="both"/>
        <w:rPr>
          <w:rFonts w:asciiTheme="minorBidi" w:hAnsiTheme="minorBidi"/>
          <w:i/>
          <w:iCs/>
          <w:sz w:val="16"/>
          <w:szCs w:val="16"/>
        </w:rPr>
      </w:pPr>
      <w:r w:rsidRPr="00B44991">
        <w:rPr>
          <w:rFonts w:asciiTheme="minorBidi" w:hAnsiTheme="minorBidi"/>
          <w:i/>
          <w:iCs/>
          <w:sz w:val="16"/>
          <w:szCs w:val="16"/>
        </w:rPr>
        <w:t>Source : tableau réalisé par nos soins à partir de : ministère de la santé, de la population et de la réforme hospitalière : statistiques sanitaires, 2002-2011, Alger.</w:t>
      </w:r>
    </w:p>
    <w:p w:rsidR="00581463" w:rsidRPr="00883E21" w:rsidRDefault="00581463" w:rsidP="00883E21">
      <w:pPr>
        <w:spacing w:after="0" w:line="240" w:lineRule="auto"/>
        <w:jc w:val="both"/>
        <w:rPr>
          <w:rFonts w:ascii="Garamond" w:hAnsi="Garamond" w:cstheme="majorBidi"/>
          <w:sz w:val="20"/>
          <w:szCs w:val="20"/>
        </w:rPr>
      </w:pPr>
    </w:p>
    <w:p w:rsidR="00581463" w:rsidRPr="00883E21" w:rsidRDefault="00581463"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Tableau n°</w:t>
      </w:r>
      <w:r w:rsidR="00AE31A5" w:rsidRPr="00883E21">
        <w:rPr>
          <w:rFonts w:ascii="Garamond" w:hAnsi="Garamond" w:cstheme="majorBidi"/>
          <w:b/>
          <w:bCs/>
          <w:sz w:val="20"/>
          <w:szCs w:val="20"/>
        </w:rPr>
        <w:t>07</w:t>
      </w:r>
      <w:r w:rsidRPr="00883E21">
        <w:rPr>
          <w:rFonts w:ascii="Garamond" w:hAnsi="Garamond" w:cstheme="majorBidi"/>
          <w:b/>
          <w:bCs/>
          <w:sz w:val="20"/>
          <w:szCs w:val="20"/>
        </w:rPr>
        <w:t> : évolution du budget de la santé (2002-201</w:t>
      </w:r>
      <w:r w:rsidR="009D6D68" w:rsidRPr="00883E21">
        <w:rPr>
          <w:rFonts w:ascii="Garamond" w:hAnsi="Garamond" w:cstheme="majorBidi"/>
          <w:b/>
          <w:bCs/>
          <w:sz w:val="20"/>
          <w:szCs w:val="20"/>
        </w:rPr>
        <w:t>3</w:t>
      </w:r>
      <w:r w:rsidRPr="00883E21">
        <w:rPr>
          <w:rFonts w:ascii="Garamond" w:hAnsi="Garamond" w:cstheme="majorBidi"/>
          <w:b/>
          <w:bCs/>
          <w:sz w:val="20"/>
          <w:szCs w:val="20"/>
        </w:rPr>
        <w:t>) en KDA (suite)</w:t>
      </w:r>
    </w:p>
    <w:tbl>
      <w:tblPr>
        <w:tblStyle w:val="Grilledutableau"/>
        <w:tblW w:w="9042" w:type="dxa"/>
        <w:tblInd w:w="108" w:type="dxa"/>
        <w:tblLayout w:type="fixed"/>
        <w:tblLook w:val="04A0"/>
      </w:tblPr>
      <w:tblGrid>
        <w:gridCol w:w="1560"/>
        <w:gridCol w:w="1247"/>
        <w:gridCol w:w="1247"/>
        <w:gridCol w:w="1247"/>
        <w:gridCol w:w="1247"/>
        <w:gridCol w:w="1247"/>
        <w:gridCol w:w="1247"/>
      </w:tblGrid>
      <w:tr w:rsidR="00581463" w:rsidRPr="00883E21" w:rsidTr="00644F81">
        <w:tc>
          <w:tcPr>
            <w:tcW w:w="1560"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 xml:space="preserve">Années </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2008</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2009</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2010</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2011</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2012</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2013</w:t>
            </w:r>
          </w:p>
        </w:tc>
      </w:tr>
      <w:tr w:rsidR="00581463" w:rsidRPr="00883E21" w:rsidTr="00644F81">
        <w:tc>
          <w:tcPr>
            <w:tcW w:w="1560"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Budget de la santé en dinars courant</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155041501,2</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213987394,8</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234014205,6</w:t>
            </w:r>
          </w:p>
        </w:tc>
        <w:tc>
          <w:tcPr>
            <w:tcW w:w="1247" w:type="dxa"/>
          </w:tcPr>
          <w:p w:rsidR="00581463" w:rsidRPr="00883E21" w:rsidRDefault="00581463" w:rsidP="00883E21">
            <w:pPr>
              <w:jc w:val="both"/>
              <w:rPr>
                <w:rFonts w:ascii="Garamond" w:hAnsi="Garamond" w:cstheme="majorBidi"/>
                <w:sz w:val="20"/>
                <w:szCs w:val="20"/>
              </w:rPr>
            </w:pPr>
            <w:r w:rsidRPr="00883E21">
              <w:rPr>
                <w:rFonts w:ascii="Garamond" w:hAnsi="Garamond" w:cstheme="majorBidi"/>
                <w:sz w:val="20"/>
                <w:szCs w:val="20"/>
              </w:rPr>
              <w:t>273431449,2</w:t>
            </w:r>
          </w:p>
        </w:tc>
        <w:tc>
          <w:tcPr>
            <w:tcW w:w="1247" w:type="dxa"/>
          </w:tcPr>
          <w:p w:rsidR="00581463" w:rsidRPr="00883E21" w:rsidRDefault="009D6D68" w:rsidP="00883E21">
            <w:pPr>
              <w:jc w:val="both"/>
              <w:rPr>
                <w:rFonts w:ascii="Garamond" w:hAnsi="Garamond" w:cstheme="majorBidi"/>
                <w:sz w:val="20"/>
                <w:szCs w:val="20"/>
              </w:rPr>
            </w:pPr>
            <w:r w:rsidRPr="00883E21">
              <w:rPr>
                <w:rFonts w:ascii="Garamond" w:hAnsi="Garamond" w:cstheme="majorBidi"/>
                <w:sz w:val="20"/>
                <w:szCs w:val="20"/>
              </w:rPr>
              <w:t>28 541 263,4</w:t>
            </w:r>
          </w:p>
        </w:tc>
        <w:tc>
          <w:tcPr>
            <w:tcW w:w="1247" w:type="dxa"/>
          </w:tcPr>
          <w:p w:rsidR="00581463" w:rsidRPr="00883E21" w:rsidRDefault="009D6D68" w:rsidP="00883E21">
            <w:pPr>
              <w:jc w:val="both"/>
              <w:rPr>
                <w:rFonts w:ascii="Garamond" w:hAnsi="Garamond" w:cstheme="majorBidi"/>
                <w:sz w:val="20"/>
                <w:szCs w:val="20"/>
              </w:rPr>
            </w:pPr>
            <w:r w:rsidRPr="00883E21">
              <w:rPr>
                <w:rFonts w:ascii="Garamond" w:hAnsi="Garamond" w:cstheme="majorBidi"/>
                <w:sz w:val="20"/>
                <w:szCs w:val="20"/>
              </w:rPr>
              <w:t>29 556 247,2</w:t>
            </w:r>
          </w:p>
        </w:tc>
      </w:tr>
    </w:tbl>
    <w:p w:rsidR="00581463" w:rsidRPr="00B44991" w:rsidRDefault="00581463" w:rsidP="00883E21">
      <w:pPr>
        <w:spacing w:after="0" w:line="240" w:lineRule="auto"/>
        <w:jc w:val="both"/>
        <w:rPr>
          <w:rFonts w:asciiTheme="minorBidi" w:hAnsiTheme="minorBidi"/>
          <w:i/>
          <w:iCs/>
          <w:sz w:val="16"/>
          <w:szCs w:val="16"/>
        </w:rPr>
      </w:pPr>
      <w:r w:rsidRPr="00B44991">
        <w:rPr>
          <w:rFonts w:asciiTheme="minorBidi" w:hAnsiTheme="minorBidi"/>
          <w:i/>
          <w:iCs/>
          <w:sz w:val="16"/>
          <w:szCs w:val="16"/>
        </w:rPr>
        <w:t>Source : tableau réalisé par nos soins à partir de : ministère de la santé, de la population et de la réforme hospitalière : statistiques sanitaires, 2002-2011, Alger.</w:t>
      </w:r>
    </w:p>
    <w:p w:rsidR="004F1EA0" w:rsidRPr="00883E21" w:rsidRDefault="004F1EA0" w:rsidP="00883E21">
      <w:pPr>
        <w:spacing w:after="0" w:line="240" w:lineRule="auto"/>
        <w:jc w:val="both"/>
        <w:rPr>
          <w:rFonts w:ascii="Garamond" w:hAnsi="Garamond" w:cstheme="majorBidi"/>
          <w:sz w:val="20"/>
          <w:szCs w:val="20"/>
        </w:rPr>
      </w:pPr>
    </w:p>
    <w:p w:rsidR="009C0CDA" w:rsidRPr="00883E21" w:rsidRDefault="009C0CDA"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Comme le montre les données du ministère, les ressources consacrées au secteur de la santé s</w:t>
      </w:r>
      <w:r w:rsidR="00E55FCD">
        <w:rPr>
          <w:rFonts w:ascii="Garamond" w:hAnsi="Garamond" w:cstheme="majorBidi"/>
          <w:sz w:val="20"/>
          <w:szCs w:val="20"/>
        </w:rPr>
        <w:t>e sont multipliées par plus de 5</w:t>
      </w:r>
      <w:r w:rsidRPr="00883E21">
        <w:rPr>
          <w:rFonts w:ascii="Garamond" w:hAnsi="Garamond" w:cstheme="majorBidi"/>
          <w:sz w:val="20"/>
          <w:szCs w:val="20"/>
        </w:rPr>
        <w:t xml:space="preserve"> fois au cours de cette dernière décennie grâce à l’amélioration de la situation financière du pays. </w:t>
      </w:r>
    </w:p>
    <w:p w:rsidR="009C0CDA" w:rsidRPr="00883E21" w:rsidRDefault="009C0CDA"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La part des dépenses de santé par rapport au PIB a aussi enregistré une hausse comme le montre les donnée de la banque mondiale :</w:t>
      </w:r>
    </w:p>
    <w:p w:rsidR="00AE31A5" w:rsidRPr="00883E21" w:rsidRDefault="00AE31A5" w:rsidP="00883E21">
      <w:pPr>
        <w:spacing w:after="0" w:line="240" w:lineRule="auto"/>
        <w:jc w:val="both"/>
        <w:rPr>
          <w:rFonts w:ascii="Garamond" w:hAnsi="Garamond" w:cstheme="majorBidi"/>
          <w:sz w:val="20"/>
          <w:szCs w:val="20"/>
        </w:rPr>
      </w:pPr>
    </w:p>
    <w:p w:rsidR="00AE31A5" w:rsidRPr="00883E21" w:rsidRDefault="00AE31A5" w:rsidP="00883E21">
      <w:pPr>
        <w:spacing w:after="0" w:line="240" w:lineRule="auto"/>
        <w:jc w:val="both"/>
        <w:rPr>
          <w:rFonts w:ascii="Garamond" w:hAnsi="Garamond" w:cstheme="majorBidi"/>
          <w:b/>
          <w:bCs/>
          <w:sz w:val="20"/>
          <w:szCs w:val="20"/>
        </w:rPr>
      </w:pPr>
      <w:r w:rsidRPr="00883E21">
        <w:rPr>
          <w:rFonts w:ascii="Garamond" w:hAnsi="Garamond" w:cstheme="majorBidi"/>
          <w:b/>
          <w:bCs/>
          <w:sz w:val="20"/>
          <w:szCs w:val="20"/>
        </w:rPr>
        <w:t>Tableau n°08 : évolution du financement du système de santé algérien.</w:t>
      </w:r>
    </w:p>
    <w:tbl>
      <w:tblPr>
        <w:tblStyle w:val="Grilleclaire"/>
        <w:tblW w:w="9632" w:type="dxa"/>
        <w:tblLayout w:type="fixed"/>
        <w:tblLook w:val="04A0"/>
      </w:tblPr>
      <w:tblGrid>
        <w:gridCol w:w="1668"/>
        <w:gridCol w:w="624"/>
        <w:gridCol w:w="624"/>
        <w:gridCol w:w="624"/>
        <w:gridCol w:w="624"/>
        <w:gridCol w:w="624"/>
        <w:gridCol w:w="624"/>
        <w:gridCol w:w="792"/>
        <w:gridCol w:w="624"/>
        <w:gridCol w:w="624"/>
        <w:gridCol w:w="762"/>
        <w:gridCol w:w="709"/>
        <w:gridCol w:w="709"/>
      </w:tblGrid>
      <w:tr w:rsidR="00C905CD" w:rsidRPr="00883E21" w:rsidTr="00644F81">
        <w:trPr>
          <w:cnfStyle w:val="100000000000"/>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p>
        </w:tc>
        <w:tc>
          <w:tcPr>
            <w:tcW w:w="624"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2000 </w:t>
            </w:r>
          </w:p>
        </w:tc>
        <w:tc>
          <w:tcPr>
            <w:tcW w:w="624"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2001 </w:t>
            </w:r>
          </w:p>
        </w:tc>
        <w:tc>
          <w:tcPr>
            <w:tcW w:w="624"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2002 </w:t>
            </w:r>
          </w:p>
        </w:tc>
        <w:tc>
          <w:tcPr>
            <w:tcW w:w="624"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2003 </w:t>
            </w:r>
          </w:p>
        </w:tc>
        <w:tc>
          <w:tcPr>
            <w:tcW w:w="624"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2004 </w:t>
            </w:r>
          </w:p>
        </w:tc>
        <w:tc>
          <w:tcPr>
            <w:tcW w:w="624"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2005 </w:t>
            </w:r>
          </w:p>
        </w:tc>
        <w:tc>
          <w:tcPr>
            <w:tcW w:w="792"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2006 </w:t>
            </w:r>
          </w:p>
        </w:tc>
        <w:tc>
          <w:tcPr>
            <w:tcW w:w="624"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2007 </w:t>
            </w:r>
          </w:p>
        </w:tc>
        <w:tc>
          <w:tcPr>
            <w:tcW w:w="624"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2008 </w:t>
            </w:r>
          </w:p>
        </w:tc>
        <w:tc>
          <w:tcPr>
            <w:tcW w:w="762"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2009 </w:t>
            </w:r>
          </w:p>
        </w:tc>
        <w:tc>
          <w:tcPr>
            <w:tcW w:w="709"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2010 </w:t>
            </w:r>
          </w:p>
        </w:tc>
        <w:tc>
          <w:tcPr>
            <w:tcW w:w="709" w:type="dxa"/>
            <w:hideMark/>
          </w:tcPr>
          <w:p w:rsidR="00C905CD" w:rsidRPr="00883E21" w:rsidRDefault="00C905CD" w:rsidP="00883E21">
            <w:pPr>
              <w:jc w:val="both"/>
              <w:cnfStyle w:val="100000000000"/>
              <w:rPr>
                <w:rFonts w:ascii="Garamond" w:hAnsi="Garamond"/>
                <w:b w:val="0"/>
                <w:bCs w:val="0"/>
                <w:sz w:val="20"/>
                <w:szCs w:val="20"/>
              </w:rPr>
            </w:pPr>
            <w:r w:rsidRPr="00883E21">
              <w:rPr>
                <w:rFonts w:ascii="Garamond" w:hAnsi="Garamond"/>
                <w:b w:val="0"/>
                <w:bCs w:val="0"/>
                <w:sz w:val="20"/>
                <w:szCs w:val="20"/>
              </w:rPr>
              <w:t xml:space="preserve">2011 </w:t>
            </w:r>
          </w:p>
        </w:tc>
      </w:tr>
      <w:tr w:rsidR="009D6D68" w:rsidRPr="00883E21" w:rsidTr="00644F81">
        <w:trPr>
          <w:cnfStyle w:val="000000100000"/>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r w:rsidRPr="00883E21">
              <w:rPr>
                <w:rFonts w:ascii="Garamond" w:hAnsi="Garamond"/>
                <w:b w:val="0"/>
                <w:bCs w:val="0"/>
                <w:sz w:val="20"/>
                <w:szCs w:val="20"/>
              </w:rPr>
              <w:t xml:space="preserve">Crois. PIB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3.8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3.0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5.6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7.2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4.3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5.9 </w:t>
            </w:r>
          </w:p>
        </w:tc>
        <w:tc>
          <w:tcPr>
            <w:tcW w:w="79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1.7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3.4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2.0 </w:t>
            </w:r>
          </w:p>
        </w:tc>
        <w:tc>
          <w:tcPr>
            <w:tcW w:w="76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1.7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3.6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2.1 </w:t>
            </w:r>
          </w:p>
        </w:tc>
      </w:tr>
      <w:tr w:rsidR="00C905CD" w:rsidRPr="00883E21" w:rsidTr="00644F81">
        <w:trPr>
          <w:cnfStyle w:val="000000010000"/>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r w:rsidRPr="00883E21">
              <w:rPr>
                <w:rFonts w:ascii="Garamond" w:hAnsi="Garamond"/>
                <w:b w:val="0"/>
                <w:bCs w:val="0"/>
                <w:sz w:val="20"/>
                <w:szCs w:val="20"/>
              </w:rPr>
              <w:t xml:space="preserve">Dép. santé/hab. $ US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63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68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64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75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89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96.1 </w:t>
            </w:r>
          </w:p>
        </w:tc>
        <w:tc>
          <w:tcPr>
            <w:tcW w:w="792"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109.8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141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186 </w:t>
            </w:r>
          </w:p>
        </w:tc>
        <w:tc>
          <w:tcPr>
            <w:tcW w:w="762"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180.5 </w:t>
            </w:r>
          </w:p>
        </w:tc>
        <w:tc>
          <w:tcPr>
            <w:tcW w:w="709"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198.2 </w:t>
            </w:r>
          </w:p>
        </w:tc>
        <w:tc>
          <w:tcPr>
            <w:tcW w:w="709"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224.8 </w:t>
            </w:r>
          </w:p>
        </w:tc>
      </w:tr>
      <w:tr w:rsidR="009D6D68" w:rsidRPr="00883E21" w:rsidTr="00644F81">
        <w:trPr>
          <w:cnfStyle w:val="000000100000"/>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r w:rsidRPr="00883E21">
              <w:rPr>
                <w:rFonts w:ascii="Garamond" w:hAnsi="Garamond"/>
                <w:b w:val="0"/>
                <w:bCs w:val="0"/>
                <w:sz w:val="20"/>
                <w:szCs w:val="20"/>
              </w:rPr>
              <w:t xml:space="preserve">Accr.  Dép santé/hab.  (%)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7.9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-5.9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17.2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18.7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8.0 </w:t>
            </w:r>
          </w:p>
        </w:tc>
        <w:tc>
          <w:tcPr>
            <w:tcW w:w="79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14.26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28.3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31.8 </w:t>
            </w:r>
          </w:p>
        </w:tc>
        <w:tc>
          <w:tcPr>
            <w:tcW w:w="76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- 2.8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9.8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13.4 </w:t>
            </w:r>
          </w:p>
        </w:tc>
      </w:tr>
      <w:tr w:rsidR="00C905CD" w:rsidRPr="00883E21" w:rsidTr="00644F81">
        <w:trPr>
          <w:cnfStyle w:val="000000010000"/>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r w:rsidRPr="00883E21">
              <w:rPr>
                <w:rFonts w:ascii="Garamond" w:hAnsi="Garamond"/>
                <w:b w:val="0"/>
                <w:bCs w:val="0"/>
                <w:sz w:val="20"/>
                <w:szCs w:val="20"/>
              </w:rPr>
              <w:t xml:space="preserve">Dép . santé en % PIB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3.5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3.8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3.5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3.5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3.4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3.1 </w:t>
            </w:r>
          </w:p>
        </w:tc>
        <w:tc>
          <w:tcPr>
            <w:tcW w:w="792"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3.1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3.5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5.4 </w:t>
            </w:r>
          </w:p>
        </w:tc>
        <w:tc>
          <w:tcPr>
            <w:tcW w:w="762"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4.6 </w:t>
            </w:r>
          </w:p>
        </w:tc>
        <w:tc>
          <w:tcPr>
            <w:tcW w:w="709"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4.3 </w:t>
            </w:r>
          </w:p>
        </w:tc>
        <w:tc>
          <w:tcPr>
            <w:tcW w:w="709"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4.4 </w:t>
            </w:r>
          </w:p>
        </w:tc>
      </w:tr>
      <w:tr w:rsidR="009D6D68" w:rsidRPr="00883E21" w:rsidTr="00644F81">
        <w:trPr>
          <w:cnfStyle w:val="000000100000"/>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r w:rsidRPr="00883E21">
              <w:rPr>
                <w:rFonts w:ascii="Garamond" w:hAnsi="Garamond"/>
                <w:b w:val="0"/>
                <w:bCs w:val="0"/>
                <w:sz w:val="20"/>
                <w:szCs w:val="20"/>
              </w:rPr>
              <w:t xml:space="preserve">Dépenses publiques de santé  (% DTS)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73.3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77.4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75.3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77.4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72.5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74.8 </w:t>
            </w:r>
          </w:p>
        </w:tc>
        <w:tc>
          <w:tcPr>
            <w:tcW w:w="79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81.1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86 </w:t>
            </w:r>
          </w:p>
        </w:tc>
        <w:tc>
          <w:tcPr>
            <w:tcW w:w="76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79.3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79.9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82 </w:t>
            </w:r>
          </w:p>
        </w:tc>
      </w:tr>
      <w:tr w:rsidR="00C905CD" w:rsidRPr="00883E21" w:rsidTr="00644F81">
        <w:trPr>
          <w:gridAfter w:val="12"/>
          <w:cnfStyle w:val="000000010000"/>
          <w:wAfter w:w="7964" w:type="dxa"/>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r w:rsidRPr="00883E21">
              <w:rPr>
                <w:rFonts w:ascii="Garamond" w:hAnsi="Garamond"/>
                <w:b w:val="0"/>
                <w:bCs w:val="0"/>
                <w:sz w:val="20"/>
                <w:szCs w:val="20"/>
              </w:rPr>
              <w:t xml:space="preserve">Structure des dépenses  (%) </w:t>
            </w:r>
          </w:p>
        </w:tc>
      </w:tr>
      <w:tr w:rsidR="009D6D68" w:rsidRPr="00883E21" w:rsidTr="00644F81">
        <w:trPr>
          <w:cnfStyle w:val="000000100000"/>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r w:rsidRPr="00883E21">
              <w:rPr>
                <w:rFonts w:ascii="Garamond" w:hAnsi="Garamond"/>
                <w:b w:val="0"/>
                <w:bCs w:val="0"/>
                <w:sz w:val="20"/>
                <w:szCs w:val="20"/>
              </w:rPr>
              <w:t xml:space="preserve">Trésor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37.8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44.1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39.6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42.5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39.3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43.2 </w:t>
            </w:r>
          </w:p>
        </w:tc>
        <w:tc>
          <w:tcPr>
            <w:tcW w:w="79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54.4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55.1 </w:t>
            </w:r>
          </w:p>
        </w:tc>
        <w:tc>
          <w:tcPr>
            <w:tcW w:w="76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48.2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49.9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50.4 </w:t>
            </w:r>
          </w:p>
        </w:tc>
      </w:tr>
      <w:tr w:rsidR="00C905CD" w:rsidRPr="00883E21" w:rsidTr="00644F81">
        <w:trPr>
          <w:cnfStyle w:val="000000010000"/>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r w:rsidRPr="00883E21">
              <w:rPr>
                <w:rFonts w:ascii="Garamond" w:hAnsi="Garamond"/>
                <w:b w:val="0"/>
                <w:bCs w:val="0"/>
                <w:sz w:val="20"/>
                <w:szCs w:val="20"/>
              </w:rPr>
              <w:t xml:space="preserve">Sécurité sociale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35.5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33.3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35.7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34.9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33.2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31.6 </w:t>
            </w:r>
          </w:p>
        </w:tc>
        <w:tc>
          <w:tcPr>
            <w:tcW w:w="792"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26.7 </w:t>
            </w:r>
          </w:p>
        </w:tc>
        <w:tc>
          <w:tcPr>
            <w:tcW w:w="624" w:type="dxa"/>
            <w:hideMark/>
          </w:tcPr>
          <w:p w:rsidR="00C905CD" w:rsidRPr="00883E21" w:rsidRDefault="00C905CD" w:rsidP="00883E21">
            <w:pPr>
              <w:jc w:val="both"/>
              <w:cnfStyle w:val="000000010000"/>
              <w:rPr>
                <w:rFonts w:ascii="Garamond" w:hAnsi="Garamond" w:cstheme="majorBidi"/>
                <w:b/>
                <w:bCs/>
                <w:sz w:val="20"/>
                <w:szCs w:val="20"/>
              </w:rPr>
            </w:pPr>
          </w:p>
        </w:tc>
        <w:tc>
          <w:tcPr>
            <w:tcW w:w="624"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31.0 </w:t>
            </w:r>
          </w:p>
        </w:tc>
        <w:tc>
          <w:tcPr>
            <w:tcW w:w="762"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31.1 </w:t>
            </w:r>
          </w:p>
        </w:tc>
        <w:tc>
          <w:tcPr>
            <w:tcW w:w="709"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30.0 </w:t>
            </w:r>
          </w:p>
        </w:tc>
        <w:tc>
          <w:tcPr>
            <w:tcW w:w="709" w:type="dxa"/>
            <w:hideMark/>
          </w:tcPr>
          <w:p w:rsidR="00C905CD" w:rsidRPr="00883E21" w:rsidRDefault="00C905CD" w:rsidP="00883E21">
            <w:pPr>
              <w:jc w:val="both"/>
              <w:cnfStyle w:val="000000010000"/>
              <w:rPr>
                <w:rFonts w:ascii="Garamond" w:hAnsi="Garamond" w:cstheme="majorBidi"/>
                <w:b/>
                <w:bCs/>
                <w:sz w:val="20"/>
                <w:szCs w:val="20"/>
              </w:rPr>
            </w:pPr>
            <w:r w:rsidRPr="00883E21">
              <w:rPr>
                <w:rFonts w:ascii="Garamond" w:hAnsi="Garamond" w:cstheme="majorBidi"/>
                <w:b/>
                <w:bCs/>
                <w:sz w:val="20"/>
                <w:szCs w:val="20"/>
              </w:rPr>
              <w:t xml:space="preserve">31.6 </w:t>
            </w:r>
          </w:p>
        </w:tc>
      </w:tr>
      <w:tr w:rsidR="009D6D68" w:rsidRPr="00883E21" w:rsidTr="00644F81">
        <w:trPr>
          <w:cnfStyle w:val="000000100000"/>
          <w:trHeight w:val="170"/>
        </w:trPr>
        <w:tc>
          <w:tcPr>
            <w:cnfStyle w:val="001000000000"/>
            <w:tcW w:w="1668" w:type="dxa"/>
            <w:hideMark/>
          </w:tcPr>
          <w:p w:rsidR="00C905CD" w:rsidRPr="00883E21" w:rsidRDefault="00C905CD" w:rsidP="00883E21">
            <w:pPr>
              <w:jc w:val="both"/>
              <w:rPr>
                <w:rFonts w:ascii="Garamond" w:hAnsi="Garamond"/>
                <w:b w:val="0"/>
                <w:bCs w:val="0"/>
                <w:sz w:val="20"/>
                <w:szCs w:val="20"/>
              </w:rPr>
            </w:pPr>
            <w:r w:rsidRPr="00883E21">
              <w:rPr>
                <w:rFonts w:ascii="Garamond" w:hAnsi="Garamond"/>
                <w:b w:val="0"/>
                <w:bCs w:val="0"/>
                <w:sz w:val="20"/>
                <w:szCs w:val="20"/>
              </w:rPr>
              <w:t xml:space="preserve">Ménages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26.7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22.6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24.7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22.6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27.5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25.2 </w:t>
            </w:r>
          </w:p>
        </w:tc>
        <w:tc>
          <w:tcPr>
            <w:tcW w:w="79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18.9 </w:t>
            </w:r>
          </w:p>
        </w:tc>
        <w:tc>
          <w:tcPr>
            <w:tcW w:w="624" w:type="dxa"/>
            <w:hideMark/>
          </w:tcPr>
          <w:p w:rsidR="00C905CD" w:rsidRPr="00883E21" w:rsidRDefault="00C905CD" w:rsidP="00883E21">
            <w:pPr>
              <w:jc w:val="both"/>
              <w:cnfStyle w:val="000000100000"/>
              <w:rPr>
                <w:rFonts w:ascii="Garamond" w:hAnsi="Garamond" w:cstheme="majorBidi"/>
                <w:b/>
                <w:bCs/>
                <w:sz w:val="20"/>
                <w:szCs w:val="20"/>
              </w:rPr>
            </w:pPr>
          </w:p>
        </w:tc>
        <w:tc>
          <w:tcPr>
            <w:tcW w:w="624"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13.9 </w:t>
            </w:r>
          </w:p>
        </w:tc>
        <w:tc>
          <w:tcPr>
            <w:tcW w:w="762"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20.7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20.1 </w:t>
            </w:r>
          </w:p>
        </w:tc>
        <w:tc>
          <w:tcPr>
            <w:tcW w:w="709" w:type="dxa"/>
            <w:hideMark/>
          </w:tcPr>
          <w:p w:rsidR="00C905CD" w:rsidRPr="00883E21" w:rsidRDefault="00C905CD" w:rsidP="00883E21">
            <w:pPr>
              <w:jc w:val="both"/>
              <w:cnfStyle w:val="000000100000"/>
              <w:rPr>
                <w:rFonts w:ascii="Garamond" w:hAnsi="Garamond" w:cstheme="majorBidi"/>
                <w:b/>
                <w:bCs/>
                <w:sz w:val="20"/>
                <w:szCs w:val="20"/>
              </w:rPr>
            </w:pPr>
            <w:r w:rsidRPr="00883E21">
              <w:rPr>
                <w:rFonts w:ascii="Garamond" w:hAnsi="Garamond" w:cstheme="majorBidi"/>
                <w:b/>
                <w:bCs/>
                <w:sz w:val="20"/>
                <w:szCs w:val="20"/>
              </w:rPr>
              <w:t xml:space="preserve">18.0 </w:t>
            </w:r>
          </w:p>
        </w:tc>
      </w:tr>
    </w:tbl>
    <w:p w:rsidR="00C905CD" w:rsidRPr="00B44991" w:rsidRDefault="00C905CD" w:rsidP="00883E21">
      <w:pPr>
        <w:spacing w:after="0" w:line="240" w:lineRule="auto"/>
        <w:jc w:val="both"/>
        <w:rPr>
          <w:rFonts w:asciiTheme="minorBidi" w:hAnsiTheme="minorBidi"/>
          <w:i/>
          <w:iCs/>
          <w:sz w:val="16"/>
          <w:szCs w:val="16"/>
        </w:rPr>
      </w:pPr>
      <w:r w:rsidRPr="00B44991">
        <w:rPr>
          <w:rFonts w:asciiTheme="minorBidi" w:hAnsiTheme="minorBidi"/>
          <w:i/>
          <w:iCs/>
          <w:sz w:val="16"/>
          <w:szCs w:val="16"/>
        </w:rPr>
        <w:t xml:space="preserve">Source : Diverses sources Banque Mondiale et OMS. </w:t>
      </w:r>
    </w:p>
    <w:p w:rsidR="004F1EA0" w:rsidRPr="00883E21" w:rsidRDefault="004F1EA0" w:rsidP="00883E21">
      <w:pPr>
        <w:spacing w:after="0" w:line="240" w:lineRule="auto"/>
        <w:jc w:val="both"/>
        <w:rPr>
          <w:rFonts w:ascii="Garamond" w:hAnsi="Garamond" w:cstheme="majorBidi"/>
          <w:b/>
          <w:bCs/>
          <w:sz w:val="20"/>
          <w:szCs w:val="20"/>
        </w:rPr>
      </w:pPr>
    </w:p>
    <w:p w:rsidR="009D6D68" w:rsidRPr="00883E21" w:rsidRDefault="009D6D68" w:rsidP="00E55FCD">
      <w:pPr>
        <w:spacing w:after="0" w:line="240" w:lineRule="auto"/>
        <w:jc w:val="both"/>
        <w:rPr>
          <w:rFonts w:ascii="Garamond" w:hAnsi="Garamond" w:cstheme="majorBidi"/>
          <w:sz w:val="20"/>
          <w:szCs w:val="20"/>
        </w:rPr>
      </w:pPr>
      <w:r w:rsidRPr="00883E21">
        <w:rPr>
          <w:rFonts w:ascii="Garamond" w:hAnsi="Garamond" w:cstheme="majorBidi"/>
          <w:sz w:val="20"/>
          <w:szCs w:val="20"/>
        </w:rPr>
        <w:t>Le financement des dépenses de santé est assuré principalement par la sécurité sociale et le trésor public à travers les prélèvements obligatoires et les cotisations de l’assur</w:t>
      </w:r>
      <w:r w:rsidR="00E55FCD">
        <w:rPr>
          <w:rFonts w:ascii="Garamond" w:hAnsi="Garamond" w:cstheme="majorBidi"/>
          <w:sz w:val="20"/>
          <w:szCs w:val="20"/>
        </w:rPr>
        <w:t>ance maladie, couvrent près de 80</w:t>
      </w:r>
      <w:r w:rsidRPr="00883E21">
        <w:rPr>
          <w:rFonts w:ascii="Garamond" w:hAnsi="Garamond" w:cstheme="majorBidi"/>
          <w:sz w:val="20"/>
          <w:szCs w:val="20"/>
        </w:rPr>
        <w:t xml:space="preserve">% ; suivi par les ménages avec </w:t>
      </w:r>
      <w:r w:rsidRPr="00883E21">
        <w:rPr>
          <w:rFonts w:ascii="Garamond" w:hAnsi="Garamond" w:cstheme="majorBidi"/>
          <w:sz w:val="20"/>
          <w:szCs w:val="20"/>
        </w:rPr>
        <w:lastRenderedPageBreak/>
        <w:t xml:space="preserve">un degré de participation relativement faible </w:t>
      </w:r>
      <w:r w:rsidR="00E55FCD">
        <w:rPr>
          <w:rFonts w:ascii="Garamond" w:hAnsi="Garamond" w:cstheme="majorBidi"/>
          <w:sz w:val="20"/>
          <w:szCs w:val="20"/>
        </w:rPr>
        <w:t>près de</w:t>
      </w:r>
      <w:r w:rsidRPr="00883E21">
        <w:rPr>
          <w:rFonts w:ascii="Garamond" w:hAnsi="Garamond" w:cstheme="majorBidi"/>
          <w:sz w:val="20"/>
          <w:szCs w:val="20"/>
        </w:rPr>
        <w:t xml:space="preserve"> 20%, ensuite viennent les entreprises économiques, le secteur privé, les mutuelles et les coopérations internationales avec une proportion marginale.</w:t>
      </w:r>
    </w:p>
    <w:p w:rsidR="004F1EA0" w:rsidRPr="00883E21" w:rsidRDefault="004F1EA0" w:rsidP="00883E21">
      <w:pPr>
        <w:spacing w:after="0" w:line="240" w:lineRule="auto"/>
        <w:jc w:val="both"/>
        <w:rPr>
          <w:rFonts w:ascii="Garamond" w:hAnsi="Garamond" w:cstheme="majorBidi"/>
          <w:b/>
          <w:bCs/>
          <w:sz w:val="20"/>
          <w:szCs w:val="20"/>
        </w:rPr>
      </w:pPr>
    </w:p>
    <w:p w:rsidR="009D6D68" w:rsidRDefault="009D6D6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Par ailleurs, la part des dépenses de santé supportée par les ménages ne cessent d’augmenter d’année en année depuis l’abandon de la gratuité de la médecine. Cette hausse est causé par</w:t>
      </w:r>
      <w:r w:rsidRPr="00883E21">
        <w:rPr>
          <w:rStyle w:val="Appelnotedebasdep"/>
          <w:rFonts w:ascii="Garamond" w:hAnsi="Garamond" w:cstheme="majorBidi"/>
          <w:sz w:val="20"/>
          <w:szCs w:val="20"/>
        </w:rPr>
        <w:footnoteReference w:id="19"/>
      </w:r>
      <w:r w:rsidRPr="00883E21">
        <w:rPr>
          <w:rFonts w:ascii="Garamond" w:hAnsi="Garamond" w:cstheme="majorBidi"/>
          <w:sz w:val="20"/>
          <w:szCs w:val="20"/>
        </w:rPr>
        <w:t> :</w:t>
      </w:r>
    </w:p>
    <w:p w:rsidR="001D773D" w:rsidRPr="00883E21" w:rsidRDefault="001D773D" w:rsidP="00883E21">
      <w:pPr>
        <w:spacing w:after="0" w:line="240" w:lineRule="auto"/>
        <w:jc w:val="both"/>
        <w:rPr>
          <w:rFonts w:ascii="Garamond" w:hAnsi="Garamond" w:cstheme="majorBidi"/>
          <w:sz w:val="20"/>
          <w:szCs w:val="20"/>
        </w:rPr>
      </w:pPr>
    </w:p>
    <w:p w:rsidR="009D6D68" w:rsidRPr="00883E21" w:rsidRDefault="009D6D68" w:rsidP="00883E21">
      <w:pPr>
        <w:pStyle w:val="Paragraphedeliste"/>
        <w:numPr>
          <w:ilvl w:val="0"/>
          <w:numId w:val="2"/>
        </w:numPr>
        <w:spacing w:after="0" w:line="240" w:lineRule="auto"/>
        <w:jc w:val="both"/>
        <w:rPr>
          <w:rFonts w:ascii="Garamond" w:hAnsi="Garamond" w:cstheme="majorBidi"/>
          <w:sz w:val="20"/>
          <w:szCs w:val="20"/>
        </w:rPr>
      </w:pPr>
      <w:r w:rsidRPr="00883E21">
        <w:rPr>
          <w:rFonts w:ascii="Garamond" w:hAnsi="Garamond" w:cstheme="majorBidi"/>
          <w:sz w:val="20"/>
          <w:szCs w:val="20"/>
        </w:rPr>
        <w:t>Le recours à la médecine libérale appliquant des tarifs plus élevés que les tarifs des structures publiques.</w:t>
      </w:r>
    </w:p>
    <w:p w:rsidR="009D6D68" w:rsidRPr="00883E21" w:rsidRDefault="009D6D68" w:rsidP="00883E21">
      <w:pPr>
        <w:pStyle w:val="Paragraphedeliste"/>
        <w:numPr>
          <w:ilvl w:val="0"/>
          <w:numId w:val="2"/>
        </w:numPr>
        <w:spacing w:after="0" w:line="240" w:lineRule="auto"/>
        <w:jc w:val="both"/>
        <w:rPr>
          <w:rFonts w:ascii="Garamond" w:hAnsi="Garamond" w:cstheme="majorBidi"/>
          <w:sz w:val="20"/>
          <w:szCs w:val="20"/>
        </w:rPr>
      </w:pPr>
      <w:r w:rsidRPr="00883E21">
        <w:rPr>
          <w:rFonts w:ascii="Garamond" w:hAnsi="Garamond" w:cstheme="majorBidi"/>
          <w:sz w:val="20"/>
          <w:szCs w:val="20"/>
        </w:rPr>
        <w:t>Le déremboursement de certains médicaments,</w:t>
      </w:r>
    </w:p>
    <w:p w:rsidR="009D6D68" w:rsidRPr="00883E21" w:rsidRDefault="009D6D68" w:rsidP="00883E21">
      <w:pPr>
        <w:pStyle w:val="Paragraphedeliste"/>
        <w:numPr>
          <w:ilvl w:val="0"/>
          <w:numId w:val="2"/>
        </w:numPr>
        <w:spacing w:after="0" w:line="240" w:lineRule="auto"/>
        <w:jc w:val="both"/>
        <w:rPr>
          <w:rFonts w:ascii="Garamond" w:hAnsi="Garamond" w:cstheme="majorBidi"/>
          <w:sz w:val="20"/>
          <w:szCs w:val="20"/>
        </w:rPr>
      </w:pPr>
      <w:r w:rsidRPr="00883E21">
        <w:rPr>
          <w:rFonts w:ascii="Garamond" w:hAnsi="Garamond" w:cstheme="majorBidi"/>
          <w:sz w:val="20"/>
          <w:szCs w:val="20"/>
        </w:rPr>
        <w:t>Les pratiques d’automédication,</w:t>
      </w:r>
    </w:p>
    <w:p w:rsidR="009D6D68" w:rsidRPr="00883E21" w:rsidRDefault="009D6D68" w:rsidP="00883E21">
      <w:pPr>
        <w:pStyle w:val="Paragraphedeliste"/>
        <w:numPr>
          <w:ilvl w:val="0"/>
          <w:numId w:val="2"/>
        </w:numPr>
        <w:spacing w:after="0" w:line="240" w:lineRule="auto"/>
        <w:jc w:val="both"/>
        <w:rPr>
          <w:rFonts w:ascii="Garamond" w:hAnsi="Garamond" w:cstheme="majorBidi"/>
          <w:sz w:val="20"/>
          <w:szCs w:val="20"/>
        </w:rPr>
      </w:pPr>
      <w:r w:rsidRPr="00883E21">
        <w:rPr>
          <w:rFonts w:ascii="Garamond" w:hAnsi="Garamond" w:cstheme="majorBidi"/>
          <w:sz w:val="20"/>
          <w:szCs w:val="20"/>
        </w:rPr>
        <w:t xml:space="preserve">Les écarts importants entre les tarifs des actes médicaux réels sur le marché et ceux appliqués par la caisse d’assurance maladie (CNAS et CASNOS) pour le remboursement qui dates de 1987 et ne reflètent plus les coûts réellement déboursés par les ménages. </w:t>
      </w:r>
    </w:p>
    <w:p w:rsidR="009D6D68" w:rsidRPr="00883E21" w:rsidRDefault="009D6D68" w:rsidP="00883E21">
      <w:pPr>
        <w:spacing w:after="0" w:line="240" w:lineRule="auto"/>
        <w:jc w:val="both"/>
        <w:rPr>
          <w:rFonts w:ascii="Garamond" w:hAnsi="Garamond" w:cstheme="majorBidi"/>
          <w:sz w:val="20"/>
          <w:szCs w:val="20"/>
        </w:rPr>
      </w:pPr>
    </w:p>
    <w:p w:rsidR="009D6D68" w:rsidRPr="00883E21" w:rsidRDefault="009D6D68"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Ces ressources sont affectées principalement aux secteurs sanitaires et aux établissements hospitaliers spécialisés avec plus de 70% du budget, suivis par les CHU avec près de 20% du budget ; quant au reste du budget de la santé, il est réparti entre les directions de santé publiques,  des écoles de formation paramédicale et des dépenses de l’administration centrale à Alger</w:t>
      </w:r>
      <w:r w:rsidRPr="00883E21">
        <w:rPr>
          <w:rStyle w:val="Appelnotedebasdep"/>
          <w:rFonts w:ascii="Garamond" w:hAnsi="Garamond" w:cstheme="majorBidi"/>
          <w:sz w:val="20"/>
          <w:szCs w:val="20"/>
        </w:rPr>
        <w:footnoteReference w:id="20"/>
      </w:r>
      <w:r w:rsidRPr="00883E21">
        <w:rPr>
          <w:rFonts w:ascii="Garamond" w:hAnsi="Garamond" w:cstheme="majorBidi"/>
          <w:sz w:val="20"/>
          <w:szCs w:val="20"/>
        </w:rPr>
        <w:t>.</w:t>
      </w:r>
    </w:p>
    <w:p w:rsidR="009D6D68" w:rsidRPr="00883E21" w:rsidRDefault="009D6D68" w:rsidP="00883E21">
      <w:pPr>
        <w:spacing w:after="0" w:line="240" w:lineRule="auto"/>
        <w:jc w:val="both"/>
        <w:rPr>
          <w:rFonts w:ascii="Garamond" w:hAnsi="Garamond" w:cstheme="majorBidi"/>
          <w:b/>
          <w:bCs/>
          <w:sz w:val="20"/>
          <w:szCs w:val="20"/>
        </w:rPr>
      </w:pPr>
    </w:p>
    <w:p w:rsidR="00D952D1" w:rsidRDefault="00D952D1" w:rsidP="00E55FCD">
      <w:pPr>
        <w:spacing w:after="0" w:line="240" w:lineRule="auto"/>
        <w:jc w:val="both"/>
        <w:rPr>
          <w:rFonts w:ascii="Garamond" w:hAnsi="Garamond" w:cstheme="majorBidi"/>
          <w:sz w:val="20"/>
          <w:szCs w:val="20"/>
        </w:rPr>
      </w:pPr>
      <w:r w:rsidRPr="00883E21">
        <w:rPr>
          <w:rFonts w:ascii="Garamond" w:hAnsi="Garamond" w:cstheme="majorBidi"/>
          <w:sz w:val="20"/>
          <w:szCs w:val="20"/>
        </w:rPr>
        <w:t>La transition sanitaire que connait le pays depuis près de 30 ans maintenant, s’accentue de plus en plus avec près de 60% de la population touchée par les maladies chroniques</w:t>
      </w:r>
      <w:r w:rsidR="00E55FCD">
        <w:rPr>
          <w:rFonts w:ascii="Garamond" w:hAnsi="Garamond" w:cstheme="majorBidi"/>
          <w:sz w:val="20"/>
          <w:szCs w:val="20"/>
        </w:rPr>
        <w:t xml:space="preserve"> et plusieurs maladies endémiques en prolifération encore.</w:t>
      </w:r>
      <w:r w:rsidRPr="00883E21">
        <w:rPr>
          <w:rFonts w:ascii="Garamond" w:hAnsi="Garamond" w:cstheme="majorBidi"/>
          <w:sz w:val="20"/>
          <w:szCs w:val="20"/>
        </w:rPr>
        <w:t xml:space="preserve"> </w:t>
      </w:r>
      <w:r w:rsidR="00E55FCD" w:rsidRPr="00883E21">
        <w:rPr>
          <w:rFonts w:ascii="Garamond" w:hAnsi="Garamond" w:cstheme="majorBidi"/>
          <w:sz w:val="20"/>
          <w:szCs w:val="20"/>
        </w:rPr>
        <w:t>La</w:t>
      </w:r>
      <w:r w:rsidRPr="00883E21">
        <w:rPr>
          <w:rFonts w:ascii="Garamond" w:hAnsi="Garamond" w:cstheme="majorBidi"/>
          <w:sz w:val="20"/>
          <w:szCs w:val="20"/>
        </w:rPr>
        <w:t xml:space="preserve"> demande de soins à complètement changé par rapport au passé, o</w:t>
      </w:r>
      <w:r w:rsidR="00E55FCD">
        <w:rPr>
          <w:rFonts w:ascii="Garamond" w:hAnsi="Garamond" w:cstheme="majorBidi"/>
          <w:sz w:val="20"/>
          <w:szCs w:val="20"/>
        </w:rPr>
        <w:t>ù</w:t>
      </w:r>
      <w:r w:rsidRPr="00883E21">
        <w:rPr>
          <w:rFonts w:ascii="Garamond" w:hAnsi="Garamond" w:cstheme="majorBidi"/>
          <w:sz w:val="20"/>
          <w:szCs w:val="20"/>
        </w:rPr>
        <w:t xml:space="preserve"> l’on enregistré une prédominance des maladies transmissibles. Aujourd’hui certaines de ces maladies transmissibles ont été </w:t>
      </w:r>
      <w:r w:rsidR="00E55FCD" w:rsidRPr="00883E21">
        <w:rPr>
          <w:rFonts w:ascii="Garamond" w:hAnsi="Garamond" w:cstheme="majorBidi"/>
          <w:sz w:val="20"/>
          <w:szCs w:val="20"/>
        </w:rPr>
        <w:t>éradiquées</w:t>
      </w:r>
      <w:r w:rsidRPr="00883E21">
        <w:rPr>
          <w:rFonts w:ascii="Garamond" w:hAnsi="Garamond" w:cstheme="majorBidi"/>
          <w:sz w:val="20"/>
          <w:szCs w:val="20"/>
        </w:rPr>
        <w:t xml:space="preserve"> mais beaucoup d’autres </w:t>
      </w:r>
      <w:r w:rsidR="00E55FCD" w:rsidRPr="00883E21">
        <w:rPr>
          <w:rFonts w:ascii="Garamond" w:hAnsi="Garamond" w:cstheme="majorBidi"/>
          <w:sz w:val="20"/>
          <w:szCs w:val="20"/>
        </w:rPr>
        <w:t>persistent</w:t>
      </w:r>
      <w:r w:rsidRPr="00883E21">
        <w:rPr>
          <w:rFonts w:ascii="Garamond" w:hAnsi="Garamond" w:cstheme="majorBidi"/>
          <w:sz w:val="20"/>
          <w:szCs w:val="20"/>
        </w:rPr>
        <w:t xml:space="preserve"> encore, laissant le système de santé perplexe entre la prise en charge des maladies transmissibles et les maladies non transmissibles.</w:t>
      </w:r>
    </w:p>
    <w:p w:rsidR="001D773D" w:rsidRPr="00883E21" w:rsidRDefault="001D773D" w:rsidP="00883E21">
      <w:pPr>
        <w:spacing w:after="0" w:line="240" w:lineRule="auto"/>
        <w:jc w:val="both"/>
        <w:rPr>
          <w:rFonts w:ascii="Garamond" w:hAnsi="Garamond" w:cstheme="majorBidi"/>
          <w:sz w:val="20"/>
          <w:szCs w:val="20"/>
        </w:rPr>
      </w:pPr>
    </w:p>
    <w:p w:rsidR="004F1EA0" w:rsidRDefault="004F1EA0" w:rsidP="00E55FCD">
      <w:pPr>
        <w:spacing w:after="0" w:line="240" w:lineRule="auto"/>
        <w:jc w:val="both"/>
        <w:rPr>
          <w:rFonts w:ascii="Garamond" w:hAnsi="Garamond" w:cstheme="majorBidi"/>
          <w:sz w:val="20"/>
          <w:szCs w:val="20"/>
        </w:rPr>
      </w:pPr>
      <w:r w:rsidRPr="00883E21">
        <w:rPr>
          <w:rFonts w:ascii="Garamond" w:hAnsi="Garamond" w:cstheme="majorBidi"/>
          <w:sz w:val="20"/>
          <w:szCs w:val="20"/>
        </w:rPr>
        <w:t>L’amélioration des ressources de l’Etat à contribuer a la reprise de l’investissement public dans le domaine de la santé, mais pas en infrastructures, puisque leur nombre est jugé suffisent, ce qui fait de l’Algérie le seul pays d’Afrique disposant du réseau le plus dense en structures sanitaires. L’investissement public est accès sur la capacité d’hospitalisation en augmentant le nombre de lits. Or, l’examen du taux d’occupation affiché par le ministère de la santé, de la population et de la réforme hospital</w:t>
      </w:r>
      <w:r w:rsidR="00181C21" w:rsidRPr="00883E21">
        <w:rPr>
          <w:rFonts w:ascii="Garamond" w:hAnsi="Garamond" w:cstheme="majorBidi"/>
          <w:sz w:val="20"/>
          <w:szCs w:val="20"/>
        </w:rPr>
        <w:t>ière qui avoisine toujours 70</w:t>
      </w:r>
      <w:r w:rsidRPr="00883E21">
        <w:rPr>
          <w:rFonts w:ascii="Garamond" w:hAnsi="Garamond" w:cstheme="majorBidi"/>
          <w:sz w:val="20"/>
          <w:szCs w:val="20"/>
        </w:rPr>
        <w:t>%</w:t>
      </w:r>
      <w:r w:rsidR="00E55FCD">
        <w:rPr>
          <w:rFonts w:ascii="Garamond" w:hAnsi="Garamond" w:cstheme="majorBidi"/>
          <w:sz w:val="20"/>
          <w:szCs w:val="20"/>
        </w:rPr>
        <w:t xml:space="preserve"> en moyenne pour tout types de structures (CHU, EHS ,..)</w:t>
      </w:r>
      <w:r w:rsidRPr="00883E21">
        <w:rPr>
          <w:rFonts w:ascii="Garamond" w:hAnsi="Garamond" w:cstheme="majorBidi"/>
          <w:sz w:val="20"/>
          <w:szCs w:val="20"/>
        </w:rPr>
        <w:t xml:space="preserve">, montre que l’investissement en lits d’hospitalisation ni pas justifié, alors qu’il </w:t>
      </w:r>
      <w:r w:rsidR="00E55FCD">
        <w:rPr>
          <w:rFonts w:ascii="Garamond" w:hAnsi="Garamond" w:cstheme="majorBidi"/>
          <w:sz w:val="20"/>
          <w:szCs w:val="20"/>
        </w:rPr>
        <w:t>faut</w:t>
      </w:r>
      <w:r w:rsidRPr="00883E21">
        <w:rPr>
          <w:rFonts w:ascii="Garamond" w:hAnsi="Garamond" w:cstheme="majorBidi"/>
          <w:sz w:val="20"/>
          <w:szCs w:val="20"/>
        </w:rPr>
        <w:t xml:space="preserve"> rentabiliser les lits déjà existants !</w:t>
      </w:r>
      <w:r w:rsidR="00D952D1" w:rsidRPr="00883E21">
        <w:rPr>
          <w:rFonts w:ascii="Garamond" w:hAnsi="Garamond" w:cstheme="majorBidi"/>
          <w:sz w:val="20"/>
          <w:szCs w:val="20"/>
        </w:rPr>
        <w:t xml:space="preserve"> </w:t>
      </w:r>
    </w:p>
    <w:p w:rsidR="001D773D" w:rsidRPr="00883E21" w:rsidRDefault="001D773D" w:rsidP="00883E21">
      <w:pPr>
        <w:spacing w:after="0" w:line="240" w:lineRule="auto"/>
        <w:jc w:val="both"/>
        <w:rPr>
          <w:rFonts w:ascii="Garamond" w:hAnsi="Garamond" w:cstheme="majorBidi"/>
          <w:sz w:val="20"/>
          <w:szCs w:val="20"/>
        </w:rPr>
      </w:pPr>
    </w:p>
    <w:p w:rsidR="001D773D" w:rsidRPr="00883E21" w:rsidRDefault="00D952D1" w:rsidP="00E55FCD">
      <w:pPr>
        <w:spacing w:after="0" w:line="240" w:lineRule="auto"/>
        <w:jc w:val="both"/>
        <w:rPr>
          <w:rFonts w:ascii="Garamond" w:hAnsi="Garamond" w:cstheme="majorBidi"/>
          <w:sz w:val="20"/>
          <w:szCs w:val="20"/>
        </w:rPr>
      </w:pPr>
      <w:r w:rsidRPr="00883E21">
        <w:rPr>
          <w:rFonts w:ascii="Garamond" w:hAnsi="Garamond" w:cstheme="majorBidi"/>
          <w:sz w:val="20"/>
          <w:szCs w:val="20"/>
        </w:rPr>
        <w:t>Il y a lieu de créer ou de spécialiser certaines structures -sous utilisées-</w:t>
      </w:r>
      <w:r w:rsidR="00A35320" w:rsidRPr="00883E21">
        <w:rPr>
          <w:rFonts w:ascii="Garamond" w:hAnsi="Garamond" w:cstheme="majorBidi"/>
          <w:sz w:val="20"/>
          <w:szCs w:val="20"/>
        </w:rPr>
        <w:t xml:space="preserve"> pour la prise en charge des besoins spéciaux des malades chroniques à l’é</w:t>
      </w:r>
      <w:r w:rsidR="00E55FCD">
        <w:rPr>
          <w:rFonts w:ascii="Garamond" w:hAnsi="Garamond" w:cstheme="majorBidi"/>
          <w:sz w:val="20"/>
          <w:szCs w:val="20"/>
        </w:rPr>
        <w:t>gard des malades de l’Alzheimer et du diabète.</w:t>
      </w:r>
    </w:p>
    <w:p w:rsidR="00E55FCD" w:rsidRDefault="00E55FCD" w:rsidP="00883E21">
      <w:pPr>
        <w:spacing w:after="0" w:line="240" w:lineRule="auto"/>
        <w:jc w:val="both"/>
        <w:rPr>
          <w:rFonts w:ascii="Garamond" w:hAnsi="Garamond" w:cstheme="majorBidi"/>
          <w:sz w:val="20"/>
          <w:szCs w:val="20"/>
        </w:rPr>
      </w:pPr>
    </w:p>
    <w:p w:rsidR="00E55FCD" w:rsidRDefault="004F1EA0" w:rsidP="00883E21">
      <w:pPr>
        <w:spacing w:after="0" w:line="240" w:lineRule="auto"/>
        <w:jc w:val="both"/>
        <w:rPr>
          <w:rFonts w:ascii="Garamond" w:hAnsi="Garamond" w:cstheme="majorBidi"/>
          <w:sz w:val="20"/>
          <w:szCs w:val="20"/>
        </w:rPr>
      </w:pPr>
      <w:r w:rsidRPr="00883E21">
        <w:rPr>
          <w:rFonts w:ascii="Garamond" w:hAnsi="Garamond" w:cstheme="majorBidi"/>
          <w:sz w:val="20"/>
          <w:szCs w:val="20"/>
        </w:rPr>
        <w:t>S’agissant de l’encadrement médical,</w:t>
      </w:r>
      <w:r w:rsidR="00A35320" w:rsidRPr="00883E21">
        <w:rPr>
          <w:rFonts w:ascii="Garamond" w:hAnsi="Garamond" w:cstheme="majorBidi"/>
          <w:sz w:val="20"/>
          <w:szCs w:val="20"/>
        </w:rPr>
        <w:t xml:space="preserve"> la densité des médecins </w:t>
      </w:r>
      <w:r w:rsidRPr="00883E21">
        <w:rPr>
          <w:rFonts w:ascii="Garamond" w:hAnsi="Garamond" w:cstheme="majorBidi"/>
          <w:sz w:val="20"/>
          <w:szCs w:val="20"/>
        </w:rPr>
        <w:t>est satisfaisante se rapprochant même de celle des pays développés</w:t>
      </w:r>
      <w:r w:rsidR="009D6D68" w:rsidRPr="00883E21">
        <w:rPr>
          <w:rFonts w:ascii="Garamond" w:hAnsi="Garamond" w:cstheme="majorBidi"/>
          <w:sz w:val="20"/>
          <w:szCs w:val="20"/>
        </w:rPr>
        <w:t xml:space="preserve">, le problème de l’offre de soins est plutôt la répartition des médecins sur le territoire </w:t>
      </w:r>
      <w:r w:rsidR="00E55FCD">
        <w:rPr>
          <w:rFonts w:ascii="Garamond" w:hAnsi="Garamond" w:cstheme="majorBidi"/>
          <w:sz w:val="20"/>
          <w:szCs w:val="20"/>
        </w:rPr>
        <w:t>nationale.</w:t>
      </w:r>
    </w:p>
    <w:p w:rsidR="00E55FCD" w:rsidRDefault="00E55FCD" w:rsidP="00883E21">
      <w:pPr>
        <w:spacing w:after="0" w:line="240" w:lineRule="auto"/>
        <w:jc w:val="both"/>
        <w:rPr>
          <w:rFonts w:ascii="Garamond" w:hAnsi="Garamond" w:cstheme="majorBidi"/>
          <w:sz w:val="20"/>
          <w:szCs w:val="20"/>
        </w:rPr>
      </w:pPr>
    </w:p>
    <w:p w:rsidR="004F1EA0" w:rsidRPr="00883E21" w:rsidRDefault="00E55FCD" w:rsidP="007A6408">
      <w:pPr>
        <w:spacing w:after="0" w:line="240" w:lineRule="auto"/>
        <w:jc w:val="both"/>
        <w:rPr>
          <w:rFonts w:ascii="Garamond" w:hAnsi="Garamond" w:cstheme="majorBidi"/>
          <w:sz w:val="20"/>
          <w:szCs w:val="20"/>
        </w:rPr>
      </w:pPr>
      <w:r>
        <w:rPr>
          <w:rFonts w:ascii="Garamond" w:hAnsi="Garamond" w:cstheme="majorBidi"/>
          <w:sz w:val="20"/>
          <w:szCs w:val="20"/>
        </w:rPr>
        <w:t xml:space="preserve">La répartition des médecins </w:t>
      </w:r>
      <w:r w:rsidR="007A6408">
        <w:rPr>
          <w:rFonts w:ascii="Garamond" w:hAnsi="Garamond" w:cstheme="majorBidi"/>
          <w:sz w:val="20"/>
          <w:szCs w:val="20"/>
        </w:rPr>
        <w:t xml:space="preserve">crée une </w:t>
      </w:r>
      <w:r w:rsidR="009D6D68" w:rsidRPr="00883E21">
        <w:rPr>
          <w:rFonts w:ascii="Garamond" w:hAnsi="Garamond" w:cstheme="majorBidi"/>
          <w:sz w:val="20"/>
          <w:szCs w:val="20"/>
        </w:rPr>
        <w:t>inégalité d’accès aux soins entre les populations du</w:t>
      </w:r>
      <w:r w:rsidR="007A6408">
        <w:rPr>
          <w:rFonts w:ascii="Garamond" w:hAnsi="Garamond" w:cstheme="majorBidi"/>
          <w:sz w:val="20"/>
          <w:szCs w:val="20"/>
        </w:rPr>
        <w:t xml:space="preserve"> nord</w:t>
      </w:r>
      <w:r w:rsidR="009D6D68" w:rsidRPr="00883E21">
        <w:rPr>
          <w:rFonts w:ascii="Garamond" w:hAnsi="Garamond" w:cstheme="majorBidi"/>
          <w:sz w:val="20"/>
          <w:szCs w:val="20"/>
        </w:rPr>
        <w:t xml:space="preserve"> et celles du sud, et entre les populations urbaines et les populations rurales</w:t>
      </w:r>
      <w:r w:rsidR="007A6408">
        <w:rPr>
          <w:rFonts w:ascii="Garamond" w:hAnsi="Garamond" w:cstheme="majorBidi"/>
          <w:sz w:val="20"/>
          <w:szCs w:val="20"/>
        </w:rPr>
        <w:t>. De plus il faut revoir</w:t>
      </w:r>
      <w:r w:rsidR="00A35320" w:rsidRPr="00883E21">
        <w:rPr>
          <w:rFonts w:ascii="Garamond" w:hAnsi="Garamond" w:cstheme="majorBidi"/>
          <w:sz w:val="20"/>
          <w:szCs w:val="20"/>
        </w:rPr>
        <w:t xml:space="preserve"> la formation </w:t>
      </w:r>
      <w:r w:rsidR="007A6408">
        <w:rPr>
          <w:rFonts w:ascii="Garamond" w:hAnsi="Garamond" w:cstheme="majorBidi"/>
          <w:sz w:val="20"/>
          <w:szCs w:val="20"/>
        </w:rPr>
        <w:t xml:space="preserve">médicale, en augmentant les effectifs </w:t>
      </w:r>
      <w:r w:rsidR="00A35320" w:rsidRPr="00883E21">
        <w:rPr>
          <w:rFonts w:ascii="Garamond" w:hAnsi="Garamond" w:cstheme="majorBidi"/>
          <w:sz w:val="20"/>
          <w:szCs w:val="20"/>
        </w:rPr>
        <w:t>dans les spécialités affichant un besoin avec le changement du profil morbide de la population</w:t>
      </w:r>
      <w:r w:rsidR="004F1EA0" w:rsidRPr="00883E21">
        <w:rPr>
          <w:rFonts w:ascii="Garamond" w:hAnsi="Garamond" w:cstheme="majorBidi"/>
          <w:sz w:val="20"/>
          <w:szCs w:val="20"/>
        </w:rPr>
        <w:t>.</w:t>
      </w:r>
    </w:p>
    <w:p w:rsidR="007A6408" w:rsidRDefault="007A6408" w:rsidP="00883E21">
      <w:pPr>
        <w:spacing w:after="0" w:line="240" w:lineRule="auto"/>
        <w:jc w:val="both"/>
        <w:rPr>
          <w:rFonts w:ascii="Garamond" w:hAnsi="Garamond" w:cstheme="majorBidi"/>
          <w:sz w:val="20"/>
          <w:szCs w:val="20"/>
        </w:rPr>
      </w:pPr>
    </w:p>
    <w:p w:rsidR="004F1EA0" w:rsidRDefault="004F1EA0" w:rsidP="007A6408">
      <w:pPr>
        <w:spacing w:after="0" w:line="240" w:lineRule="auto"/>
        <w:jc w:val="both"/>
        <w:rPr>
          <w:rFonts w:ascii="Garamond" w:hAnsi="Garamond" w:cstheme="majorBidi"/>
          <w:sz w:val="20"/>
          <w:szCs w:val="20"/>
        </w:rPr>
      </w:pPr>
      <w:r w:rsidRPr="00883E21">
        <w:rPr>
          <w:rFonts w:ascii="Garamond" w:hAnsi="Garamond" w:cstheme="majorBidi"/>
          <w:sz w:val="20"/>
          <w:szCs w:val="20"/>
        </w:rPr>
        <w:t>Pour conclure, le problème d</w:t>
      </w:r>
      <w:r w:rsidR="007A6408">
        <w:rPr>
          <w:rFonts w:ascii="Garamond" w:hAnsi="Garamond" w:cstheme="majorBidi"/>
          <w:sz w:val="20"/>
          <w:szCs w:val="20"/>
        </w:rPr>
        <w:t>u système de</w:t>
      </w:r>
      <w:r w:rsidRPr="00883E21">
        <w:rPr>
          <w:rFonts w:ascii="Garamond" w:hAnsi="Garamond" w:cstheme="majorBidi"/>
          <w:sz w:val="20"/>
          <w:szCs w:val="20"/>
        </w:rPr>
        <w:t xml:space="preserve"> santé en Algérie, ni pas un manque d’infrastructures sanitaire, ni de praticiens de santé, mais plutôt </w:t>
      </w:r>
      <w:r w:rsidR="007A6408">
        <w:rPr>
          <w:rFonts w:ascii="Garamond" w:hAnsi="Garamond" w:cstheme="majorBidi"/>
          <w:sz w:val="20"/>
          <w:szCs w:val="20"/>
        </w:rPr>
        <w:t>un problème d’</w:t>
      </w:r>
      <w:r w:rsidRPr="00883E21">
        <w:rPr>
          <w:rFonts w:ascii="Garamond" w:hAnsi="Garamond" w:cstheme="majorBidi"/>
          <w:sz w:val="20"/>
          <w:szCs w:val="20"/>
        </w:rPr>
        <w:t xml:space="preserve">’adéquation </w:t>
      </w:r>
      <w:r w:rsidR="007A6408">
        <w:rPr>
          <w:rFonts w:ascii="Garamond" w:hAnsi="Garamond" w:cstheme="majorBidi"/>
          <w:sz w:val="20"/>
          <w:szCs w:val="20"/>
        </w:rPr>
        <w:t>entre</w:t>
      </w:r>
      <w:r w:rsidRPr="00883E21">
        <w:rPr>
          <w:rFonts w:ascii="Garamond" w:hAnsi="Garamond" w:cstheme="majorBidi"/>
          <w:sz w:val="20"/>
          <w:szCs w:val="20"/>
        </w:rPr>
        <w:t xml:space="preserve"> l’offre de soins </w:t>
      </w:r>
      <w:r w:rsidR="007A6408">
        <w:rPr>
          <w:rFonts w:ascii="Garamond" w:hAnsi="Garamond" w:cstheme="majorBidi"/>
          <w:sz w:val="20"/>
          <w:szCs w:val="20"/>
        </w:rPr>
        <w:t>et les</w:t>
      </w:r>
      <w:r w:rsidRPr="00883E21">
        <w:rPr>
          <w:rFonts w:ascii="Garamond" w:hAnsi="Garamond" w:cstheme="majorBidi"/>
          <w:sz w:val="20"/>
          <w:szCs w:val="20"/>
        </w:rPr>
        <w:t xml:space="preserve"> besoins de </w:t>
      </w:r>
      <w:r w:rsidR="00A35320" w:rsidRPr="00883E21">
        <w:rPr>
          <w:rFonts w:ascii="Garamond" w:hAnsi="Garamond" w:cstheme="majorBidi"/>
          <w:sz w:val="20"/>
          <w:szCs w:val="20"/>
        </w:rPr>
        <w:t xml:space="preserve">soins de </w:t>
      </w:r>
      <w:r w:rsidRPr="00883E21">
        <w:rPr>
          <w:rFonts w:ascii="Garamond" w:hAnsi="Garamond" w:cstheme="majorBidi"/>
          <w:sz w:val="20"/>
          <w:szCs w:val="20"/>
        </w:rPr>
        <w:t>la population à l’ère de la transition sanitaire.</w:t>
      </w: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Default="007A6408" w:rsidP="007A6408">
      <w:pPr>
        <w:spacing w:after="0" w:line="240" w:lineRule="auto"/>
        <w:jc w:val="both"/>
        <w:rPr>
          <w:rFonts w:ascii="Garamond" w:hAnsi="Garamond" w:cstheme="majorBidi"/>
          <w:sz w:val="20"/>
          <w:szCs w:val="20"/>
        </w:rPr>
      </w:pPr>
    </w:p>
    <w:p w:rsidR="007A6408" w:rsidRPr="00883E21" w:rsidRDefault="007A6408" w:rsidP="007A6408">
      <w:pPr>
        <w:spacing w:after="0" w:line="240" w:lineRule="auto"/>
        <w:jc w:val="both"/>
        <w:rPr>
          <w:rFonts w:ascii="Garamond" w:hAnsi="Garamond" w:cstheme="majorBidi"/>
          <w:sz w:val="20"/>
          <w:szCs w:val="20"/>
        </w:rPr>
      </w:pPr>
    </w:p>
    <w:p w:rsidR="00A831AC" w:rsidRPr="00883E21" w:rsidRDefault="00A831AC" w:rsidP="00883E21">
      <w:pPr>
        <w:spacing w:after="0" w:line="240" w:lineRule="auto"/>
        <w:jc w:val="both"/>
        <w:rPr>
          <w:rFonts w:ascii="Garamond" w:hAnsi="Garamond"/>
          <w:sz w:val="20"/>
          <w:szCs w:val="20"/>
        </w:rPr>
      </w:pPr>
    </w:p>
    <w:p w:rsidR="005160C0" w:rsidRPr="00ED1F37" w:rsidRDefault="0010408A" w:rsidP="00ED1F37">
      <w:pPr>
        <w:pStyle w:val="Paragraphedeliste"/>
        <w:numPr>
          <w:ilvl w:val="0"/>
          <w:numId w:val="5"/>
        </w:numPr>
        <w:spacing w:after="0" w:line="240" w:lineRule="auto"/>
        <w:jc w:val="both"/>
        <w:rPr>
          <w:rFonts w:ascii="Garamond" w:hAnsi="Garamond" w:cstheme="majorBidi"/>
          <w:b/>
          <w:bCs/>
          <w:sz w:val="20"/>
          <w:szCs w:val="20"/>
        </w:rPr>
      </w:pPr>
      <w:r w:rsidRPr="00ED1F37">
        <w:rPr>
          <w:rFonts w:ascii="Garamond" w:hAnsi="Garamond" w:cstheme="majorBidi"/>
          <w:b/>
          <w:bCs/>
          <w:sz w:val="20"/>
          <w:szCs w:val="20"/>
        </w:rPr>
        <w:lastRenderedPageBreak/>
        <w:t>Références bibliographiques.</w:t>
      </w:r>
    </w:p>
    <w:p w:rsidR="0010408A" w:rsidRPr="00ED1F37" w:rsidRDefault="0010408A" w:rsidP="00ED1F37">
      <w:pPr>
        <w:pStyle w:val="Notedebasdepage"/>
        <w:jc w:val="both"/>
        <w:rPr>
          <w:rFonts w:ascii="Garamond" w:hAnsi="Garamond" w:cstheme="majorBidi"/>
        </w:rPr>
      </w:pPr>
      <w:r w:rsidRPr="00ED1F37">
        <w:rPr>
          <w:rFonts w:ascii="Garamond" w:hAnsi="Garamond" w:cstheme="majorBidi"/>
        </w:rPr>
        <w:t xml:space="preserve">Association ENNOUR (aide aux malades atteints du cancer et lutte contre le tabac) : tabagisme en Algérie. In, </w:t>
      </w:r>
      <w:hyperlink r:id="rId18" w:history="1">
        <w:r w:rsidRPr="00ED1F37">
          <w:rPr>
            <w:rStyle w:val="Lienhypertexte"/>
            <w:rFonts w:ascii="Garamond" w:hAnsi="Garamond" w:cstheme="majorBidi"/>
            <w:color w:val="auto"/>
            <w:u w:val="none"/>
          </w:rPr>
          <w:t>www.ennour.org</w:t>
        </w:r>
      </w:hyperlink>
    </w:p>
    <w:p w:rsidR="0010408A" w:rsidRPr="00ED1F37" w:rsidRDefault="007A6408" w:rsidP="00ED1F37">
      <w:pPr>
        <w:pStyle w:val="Notedebasdepage"/>
        <w:jc w:val="both"/>
        <w:rPr>
          <w:rFonts w:ascii="Garamond" w:hAnsi="Garamond"/>
        </w:rPr>
      </w:pPr>
      <w:r w:rsidRPr="00ED1F37">
        <w:rPr>
          <w:rFonts w:ascii="Garamond" w:hAnsi="Garamond" w:cstheme="majorBidi"/>
        </w:rPr>
        <w:t>Banque</w:t>
      </w:r>
      <w:r w:rsidR="0010408A" w:rsidRPr="00ED1F37">
        <w:rPr>
          <w:rFonts w:ascii="Garamond" w:hAnsi="Garamond" w:cstheme="majorBidi"/>
        </w:rPr>
        <w:t xml:space="preserve"> mondiale, Algérie, urbanisation. In, </w:t>
      </w:r>
      <w:hyperlink r:id="rId19" w:history="1">
        <w:r w:rsidR="0010408A" w:rsidRPr="00ED1F37">
          <w:rPr>
            <w:rStyle w:val="Lienhypertexte"/>
            <w:rFonts w:ascii="Garamond" w:hAnsi="Garamond" w:cstheme="majorBidi"/>
            <w:color w:val="auto"/>
            <w:u w:val="none"/>
          </w:rPr>
          <w:t>http://perspective.usherbrooke.ca/bilan/servlet/BMTendanceStatPays?langue=fr&amp;codePays=DZA&amp;codeStat=NY.GDP.PCAP.PP.KD&amp;codeStat2=x</w:t>
        </w:r>
      </w:hyperlink>
    </w:p>
    <w:p w:rsidR="0010408A" w:rsidRPr="00ED1F37" w:rsidRDefault="0010408A" w:rsidP="00ED1F37">
      <w:pPr>
        <w:pStyle w:val="Notedebasdepage"/>
        <w:jc w:val="both"/>
        <w:rPr>
          <w:rFonts w:ascii="Garamond" w:hAnsi="Garamond" w:cstheme="majorBidi"/>
        </w:rPr>
      </w:pPr>
      <w:r w:rsidRPr="00ED1F37">
        <w:rPr>
          <w:rFonts w:ascii="Garamond" w:hAnsi="Garamond" w:cstheme="majorBidi"/>
        </w:rPr>
        <w:t>Brahamia B., économie de santé, évolution et tendance des systèmes de santé. Edition Bahaeddine, Constantine 2010</w:t>
      </w:r>
    </w:p>
    <w:p w:rsidR="0010408A" w:rsidRPr="00ED1F37" w:rsidRDefault="0010408A" w:rsidP="00ED1F37">
      <w:pPr>
        <w:pStyle w:val="Notedebasdepage"/>
        <w:jc w:val="both"/>
        <w:rPr>
          <w:rFonts w:ascii="Garamond" w:hAnsi="Garamond"/>
        </w:rPr>
      </w:pPr>
      <w:r w:rsidRPr="00ED1F37">
        <w:rPr>
          <w:rFonts w:ascii="Garamond" w:hAnsi="Garamond" w:cstheme="majorBidi"/>
        </w:rPr>
        <w:t>Fellah L., étude exploratrice du système de prévention algérien : déterminisme et problématique, thèse de doctorat en sciences économiques, université d’Alger, 1998.</w:t>
      </w:r>
    </w:p>
    <w:p w:rsidR="0010408A" w:rsidRPr="00ED1F37" w:rsidRDefault="0010408A" w:rsidP="00ED1F37">
      <w:pPr>
        <w:pStyle w:val="Notedebasdepage"/>
        <w:jc w:val="both"/>
        <w:rPr>
          <w:rFonts w:ascii="Garamond" w:hAnsi="Garamond" w:cstheme="majorBidi"/>
        </w:rPr>
      </w:pPr>
      <w:r w:rsidRPr="00ED1F37">
        <w:rPr>
          <w:rFonts w:ascii="Garamond" w:hAnsi="Garamond" w:cstheme="majorBidi"/>
        </w:rPr>
        <w:t>INSP : enquête nationale santé, transition épidémiologique et système de santé, Alger novembre 2007.</w:t>
      </w:r>
    </w:p>
    <w:p w:rsidR="0010408A" w:rsidRPr="00ED1F37" w:rsidRDefault="0010408A" w:rsidP="00ED1F37">
      <w:pPr>
        <w:spacing w:after="0" w:line="240" w:lineRule="auto"/>
        <w:jc w:val="both"/>
        <w:rPr>
          <w:rFonts w:ascii="Garamond" w:hAnsi="Garamond"/>
          <w:i/>
          <w:iCs/>
          <w:sz w:val="20"/>
          <w:szCs w:val="20"/>
        </w:rPr>
      </w:pPr>
      <w:r w:rsidRPr="00ED1F37">
        <w:rPr>
          <w:rFonts w:ascii="Garamond" w:hAnsi="Garamond"/>
          <w:i/>
          <w:iCs/>
          <w:sz w:val="20"/>
          <w:szCs w:val="20"/>
        </w:rPr>
        <w:t>INSP : enquête nationale santé, transition épidémiologique et système de santé, Alger novembre 2007. P.60.</w:t>
      </w:r>
    </w:p>
    <w:p w:rsidR="0010408A" w:rsidRPr="00ED1F37" w:rsidRDefault="0010408A" w:rsidP="00ED1F37">
      <w:pPr>
        <w:spacing w:after="0" w:line="240" w:lineRule="auto"/>
        <w:jc w:val="both"/>
        <w:rPr>
          <w:rFonts w:ascii="Garamond" w:hAnsi="Garamond"/>
          <w:i/>
          <w:iCs/>
          <w:sz w:val="20"/>
          <w:szCs w:val="20"/>
        </w:rPr>
      </w:pPr>
      <w:r w:rsidRPr="00ED1F37">
        <w:rPr>
          <w:rFonts w:ascii="Garamond" w:hAnsi="Garamond"/>
          <w:i/>
          <w:iCs/>
          <w:sz w:val="20"/>
          <w:szCs w:val="20"/>
        </w:rPr>
        <w:t>INSP, relevés épidémiologiques annuels 1980-2011, Algérie.</w:t>
      </w:r>
    </w:p>
    <w:p w:rsidR="0010408A" w:rsidRPr="00ED1F37" w:rsidRDefault="0010408A" w:rsidP="00ED1F37">
      <w:pPr>
        <w:pStyle w:val="Notedebasdepage"/>
        <w:jc w:val="both"/>
        <w:rPr>
          <w:rFonts w:ascii="Garamond" w:hAnsi="Garamond" w:cstheme="majorBidi"/>
        </w:rPr>
      </w:pPr>
      <w:r w:rsidRPr="00ED1F37">
        <w:rPr>
          <w:rFonts w:ascii="Garamond" w:hAnsi="Garamond" w:cstheme="majorBidi"/>
        </w:rPr>
        <w:t>Larbi A., nouvelle carte sanitaire : les secteurs sanitaires se transforment en EPH et EPSP ; 12/07/2007. In, www.santemaghreb.com</w:t>
      </w:r>
    </w:p>
    <w:p w:rsidR="0010408A" w:rsidRPr="00ED1F37" w:rsidRDefault="00ED1F37" w:rsidP="00ED1F37">
      <w:pPr>
        <w:spacing w:after="0" w:line="240" w:lineRule="auto"/>
        <w:jc w:val="both"/>
        <w:rPr>
          <w:rFonts w:ascii="Garamond" w:hAnsi="Garamond"/>
          <w:i/>
          <w:iCs/>
          <w:sz w:val="20"/>
          <w:szCs w:val="20"/>
        </w:rPr>
      </w:pPr>
      <w:r w:rsidRPr="00ED1F37">
        <w:rPr>
          <w:rFonts w:ascii="Garamond" w:hAnsi="Garamond"/>
          <w:i/>
          <w:iCs/>
          <w:sz w:val="20"/>
          <w:szCs w:val="20"/>
        </w:rPr>
        <w:t>Ministère</w:t>
      </w:r>
      <w:r w:rsidR="0010408A" w:rsidRPr="00ED1F37">
        <w:rPr>
          <w:rFonts w:ascii="Garamond" w:hAnsi="Garamond"/>
          <w:i/>
          <w:iCs/>
          <w:sz w:val="20"/>
          <w:szCs w:val="20"/>
        </w:rPr>
        <w:t xml:space="preserve"> de la santé, de la population et de la réforme hospitalière : statistiques sanitaires, 2002-2011, Alger.</w:t>
      </w:r>
    </w:p>
    <w:p w:rsidR="00ED1F37" w:rsidRPr="00ED1F37" w:rsidRDefault="00ED1F37" w:rsidP="00ED1F37">
      <w:pPr>
        <w:pStyle w:val="Notedebasdepage"/>
        <w:jc w:val="both"/>
        <w:rPr>
          <w:rFonts w:ascii="Garamond" w:hAnsi="Garamond"/>
        </w:rPr>
      </w:pPr>
      <w:r w:rsidRPr="00ED1F37">
        <w:rPr>
          <w:rFonts w:ascii="Garamond" w:hAnsi="Garamond" w:cstheme="majorBidi"/>
        </w:rPr>
        <w:t xml:space="preserve">OMS : statistiques sanitaires mondiales 2013, édition OMS, suisse 2013. </w:t>
      </w:r>
    </w:p>
    <w:p w:rsidR="00ED1F37" w:rsidRPr="00ED1F37" w:rsidRDefault="00ED1F37" w:rsidP="00ED1F37">
      <w:pPr>
        <w:spacing w:after="0" w:line="240" w:lineRule="auto"/>
        <w:rPr>
          <w:sz w:val="20"/>
          <w:szCs w:val="20"/>
        </w:rPr>
      </w:pPr>
      <w:r w:rsidRPr="00ED1F37">
        <w:rPr>
          <w:rFonts w:ascii="Garamond" w:hAnsi="Garamond" w:cstheme="majorBidi"/>
          <w:sz w:val="20"/>
          <w:szCs w:val="20"/>
        </w:rPr>
        <w:t>OMS : statistiques sanitaires mondiales, suisse 2013</w:t>
      </w:r>
      <w:r w:rsidR="007A6408" w:rsidRPr="00ED1F37">
        <w:rPr>
          <w:rFonts w:ascii="Garamond" w:hAnsi="Garamond" w:cstheme="majorBidi"/>
          <w:sz w:val="20"/>
          <w:szCs w:val="20"/>
        </w:rPr>
        <w:t>.</w:t>
      </w:r>
      <w:r w:rsidRPr="00ED1F37">
        <w:rPr>
          <w:rFonts w:ascii="Garamond" w:hAnsi="Garamond" w:cstheme="majorBidi"/>
          <w:sz w:val="20"/>
          <w:szCs w:val="20"/>
        </w:rPr>
        <w:t xml:space="preserve"> In, </w:t>
      </w:r>
    </w:p>
    <w:p w:rsidR="00ED1F37" w:rsidRPr="00ED1F37" w:rsidRDefault="00ED1F37" w:rsidP="00ED1F37">
      <w:pPr>
        <w:pStyle w:val="Notedebasdepage"/>
        <w:jc w:val="both"/>
        <w:rPr>
          <w:rFonts w:ascii="Garamond" w:hAnsi="Garamond" w:cstheme="majorBidi"/>
        </w:rPr>
      </w:pPr>
      <w:r w:rsidRPr="00ED1F37">
        <w:rPr>
          <w:rFonts w:ascii="Garamond" w:hAnsi="Garamond" w:cstheme="majorBidi"/>
        </w:rPr>
        <w:t>http://apps.who.int/iris/bitstream/10665/82056/1/9789242564587_fre.pdf</w:t>
      </w:r>
    </w:p>
    <w:p w:rsidR="00ED1F37" w:rsidRPr="00ED1F37" w:rsidRDefault="00ED1F37" w:rsidP="00ED1F37">
      <w:pPr>
        <w:spacing w:after="0" w:line="240" w:lineRule="auto"/>
        <w:rPr>
          <w:rFonts w:ascii="Garamond" w:hAnsi="Garamond" w:cstheme="majorBidi"/>
          <w:sz w:val="20"/>
          <w:szCs w:val="20"/>
        </w:rPr>
      </w:pPr>
      <w:r w:rsidRPr="00ED1F37">
        <w:rPr>
          <w:rFonts w:ascii="Garamond" w:hAnsi="Garamond" w:cstheme="majorBidi"/>
          <w:sz w:val="20"/>
          <w:szCs w:val="20"/>
        </w:rPr>
        <w:t>ONS : enquête emploi auprès des ménages 2011, collections statistiques n°173, série S (statistiques sociales), Alger 2011.</w:t>
      </w:r>
    </w:p>
    <w:p w:rsidR="00ED1F37" w:rsidRPr="00ED1F37" w:rsidRDefault="00ED1F37" w:rsidP="00ED1F37">
      <w:pPr>
        <w:spacing w:after="0" w:line="240" w:lineRule="auto"/>
        <w:rPr>
          <w:rFonts w:ascii="Garamond" w:hAnsi="Garamond" w:cstheme="majorBidi"/>
          <w:sz w:val="20"/>
          <w:szCs w:val="20"/>
        </w:rPr>
      </w:pPr>
      <w:r w:rsidRPr="00ED1F37">
        <w:rPr>
          <w:rFonts w:ascii="Garamond" w:hAnsi="Garamond" w:cstheme="majorBidi"/>
          <w:sz w:val="20"/>
          <w:szCs w:val="20"/>
        </w:rPr>
        <w:t>TABET DERRAZ N F. et BESTAOUI S : épidémiologie et clinique de la brucellose humaine sur trois décennies en zone endémique, 13</w:t>
      </w:r>
      <w:r w:rsidRPr="00ED1F37">
        <w:rPr>
          <w:rFonts w:ascii="Garamond" w:hAnsi="Garamond" w:cstheme="majorBidi"/>
          <w:sz w:val="20"/>
          <w:szCs w:val="20"/>
          <w:vertAlign w:val="superscript"/>
        </w:rPr>
        <w:t>ième</w:t>
      </w:r>
      <w:r w:rsidRPr="00ED1F37">
        <w:rPr>
          <w:rFonts w:ascii="Garamond" w:hAnsi="Garamond" w:cstheme="majorBidi"/>
          <w:sz w:val="20"/>
          <w:szCs w:val="20"/>
        </w:rPr>
        <w:t xml:space="preserve"> journées nationales d’infectiologie, 13 – 15 /06/2012, SIDI BELABBES, Algérie.</w:t>
      </w:r>
    </w:p>
    <w:p w:rsidR="00ED1F37" w:rsidRPr="00ED1F37" w:rsidRDefault="00ED1F37" w:rsidP="00ED1F37">
      <w:pPr>
        <w:pStyle w:val="Notedebasdepage"/>
        <w:jc w:val="both"/>
        <w:rPr>
          <w:rFonts w:ascii="Garamond" w:hAnsi="Garamond" w:cstheme="majorBidi"/>
        </w:rPr>
      </w:pPr>
      <w:r w:rsidRPr="00ED1F37">
        <w:rPr>
          <w:rFonts w:ascii="Garamond" w:hAnsi="Garamond" w:cstheme="majorBidi"/>
        </w:rPr>
        <w:t>Unesco, donnes mondiale de l’éducation, 9</w:t>
      </w:r>
      <w:r w:rsidRPr="00ED1F37">
        <w:rPr>
          <w:rFonts w:ascii="Garamond" w:hAnsi="Garamond" w:cstheme="majorBidi"/>
          <w:vertAlign w:val="superscript"/>
        </w:rPr>
        <w:t>ième</w:t>
      </w:r>
      <w:r w:rsidRPr="00ED1F37">
        <w:rPr>
          <w:rFonts w:ascii="Garamond" w:hAnsi="Garamond" w:cstheme="majorBidi"/>
        </w:rPr>
        <w:t xml:space="preserve"> édition, 2012-2013. In, http://unesdoc.unesco.org</w:t>
      </w:r>
    </w:p>
    <w:p w:rsidR="00ED1F37" w:rsidRPr="00ED1F37" w:rsidRDefault="00ED1F37" w:rsidP="00ED1F37">
      <w:pPr>
        <w:pStyle w:val="Notedebasdepage"/>
        <w:jc w:val="both"/>
        <w:rPr>
          <w:rFonts w:ascii="Garamond" w:hAnsi="Garamond"/>
        </w:rPr>
      </w:pPr>
      <w:r w:rsidRPr="00ED1F37">
        <w:rPr>
          <w:rFonts w:ascii="Garamond" w:hAnsi="Garamond"/>
        </w:rPr>
        <w:t xml:space="preserve">Zehnati A : l’émergence et l’expansion des cliniques privées en Algérie. In, </w:t>
      </w:r>
      <w:r w:rsidRPr="00ED1F37">
        <w:rPr>
          <w:rFonts w:ascii="Garamond" w:hAnsi="Garamond" w:cs="Arial"/>
          <w:shd w:val="clear" w:color="auto" w:fill="FFFFFF"/>
        </w:rPr>
        <w:t>www.ebanque-</w:t>
      </w:r>
      <w:r w:rsidRPr="00ED1F37">
        <w:rPr>
          <w:rFonts w:ascii="Garamond" w:hAnsi="Garamond" w:cs="Arial"/>
          <w:b/>
          <w:bCs/>
          <w:shd w:val="clear" w:color="auto" w:fill="FFFFFF"/>
        </w:rPr>
        <w:t>pdf</w:t>
      </w:r>
      <w:r w:rsidRPr="00ED1F37">
        <w:rPr>
          <w:rFonts w:ascii="Garamond" w:hAnsi="Garamond" w:cs="Arial"/>
          <w:shd w:val="clear" w:color="auto" w:fill="FFFFFF"/>
        </w:rPr>
        <w:t>.com/fr_systeme-de-</w:t>
      </w:r>
      <w:r w:rsidRPr="00ED1F37">
        <w:rPr>
          <w:rFonts w:ascii="Garamond" w:hAnsi="Garamond" w:cs="Arial"/>
          <w:b/>
          <w:bCs/>
          <w:shd w:val="clear" w:color="auto" w:fill="FFFFFF"/>
        </w:rPr>
        <w:t>sante</w:t>
      </w:r>
      <w:r w:rsidRPr="00ED1F37">
        <w:rPr>
          <w:rFonts w:ascii="Garamond" w:hAnsi="Garamond" w:cs="Arial"/>
          <w:shd w:val="clear" w:color="auto" w:fill="FFFFFF"/>
        </w:rPr>
        <w:t>-</w:t>
      </w:r>
      <w:r w:rsidRPr="00ED1F37">
        <w:rPr>
          <w:rFonts w:ascii="Garamond" w:hAnsi="Garamond" w:cs="Arial"/>
          <w:b/>
          <w:bCs/>
          <w:shd w:val="clear" w:color="auto" w:fill="FFFFFF"/>
        </w:rPr>
        <w:t>algerien</w:t>
      </w:r>
      <w:r w:rsidRPr="00ED1F37">
        <w:rPr>
          <w:rFonts w:ascii="Garamond" w:hAnsi="Garamond" w:cs="Arial"/>
          <w:shd w:val="clear" w:color="auto" w:fill="FFFFFF"/>
        </w:rPr>
        <w:t>.html</w:t>
      </w:r>
    </w:p>
    <w:p w:rsidR="00ED1F37" w:rsidRPr="00ED1F37" w:rsidRDefault="00ED1F37" w:rsidP="00ED1F37">
      <w:pPr>
        <w:pStyle w:val="Notedebasdepage"/>
        <w:jc w:val="both"/>
        <w:rPr>
          <w:rFonts w:ascii="Garamond" w:hAnsi="Garamond"/>
        </w:rPr>
      </w:pPr>
      <w:r w:rsidRPr="00ED1F37">
        <w:rPr>
          <w:rFonts w:ascii="Garamond" w:hAnsi="Garamond"/>
        </w:rPr>
        <w:t>Zehnati A : les inégalités de répartition des praticiens privés de santé sur le territoire en Algérie. Consulté le 20/03/2015. In, www.erudite.univ-paris-est.pdf</w:t>
      </w:r>
    </w:p>
    <w:p w:rsidR="005160C0" w:rsidRPr="00ED1F37" w:rsidRDefault="005160C0" w:rsidP="00ED1F37">
      <w:pPr>
        <w:spacing w:after="0" w:line="240" w:lineRule="auto"/>
        <w:jc w:val="both"/>
        <w:rPr>
          <w:rFonts w:ascii="Garamond" w:hAnsi="Garamond"/>
          <w:sz w:val="20"/>
          <w:szCs w:val="20"/>
        </w:rPr>
      </w:pPr>
    </w:p>
    <w:sectPr w:rsidR="005160C0" w:rsidRPr="00ED1F37" w:rsidSect="00883E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4F" w:rsidRDefault="00B8784F" w:rsidP="004F1EA0">
      <w:pPr>
        <w:spacing w:after="0" w:line="240" w:lineRule="auto"/>
      </w:pPr>
      <w:r>
        <w:separator/>
      </w:r>
    </w:p>
  </w:endnote>
  <w:endnote w:type="continuationSeparator" w:id="1">
    <w:p w:rsidR="00B8784F" w:rsidRDefault="00B8784F" w:rsidP="004F1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4F" w:rsidRDefault="00B8784F" w:rsidP="004F1EA0">
      <w:pPr>
        <w:spacing w:after="0" w:line="240" w:lineRule="auto"/>
      </w:pPr>
      <w:r>
        <w:separator/>
      </w:r>
    </w:p>
  </w:footnote>
  <w:footnote w:type="continuationSeparator" w:id="1">
    <w:p w:rsidR="00B8784F" w:rsidRDefault="00B8784F" w:rsidP="004F1EA0">
      <w:pPr>
        <w:spacing w:after="0" w:line="240" w:lineRule="auto"/>
      </w:pPr>
      <w:r>
        <w:continuationSeparator/>
      </w:r>
    </w:p>
  </w:footnote>
  <w:footnote w:id="2">
    <w:p w:rsidR="0011416E" w:rsidRPr="0036567C" w:rsidRDefault="0011416E" w:rsidP="00397CE7">
      <w:pPr>
        <w:pStyle w:val="Notedebasdepage"/>
        <w:rPr>
          <w:rFonts w:ascii="Garamond" w:hAnsi="Garamond"/>
          <w:sz w:val="16"/>
          <w:szCs w:val="16"/>
        </w:rPr>
      </w:pPr>
      <w:r w:rsidRPr="0036567C">
        <w:rPr>
          <w:rStyle w:val="Appelnotedebasdep"/>
          <w:rFonts w:ascii="Garamond" w:hAnsi="Garamond"/>
          <w:sz w:val="16"/>
          <w:szCs w:val="16"/>
        </w:rPr>
        <w:footnoteRef/>
      </w:r>
      <w:r w:rsidRPr="0036567C">
        <w:rPr>
          <w:rFonts w:ascii="Garamond" w:hAnsi="Garamond"/>
          <w:sz w:val="16"/>
          <w:szCs w:val="16"/>
        </w:rPr>
        <w:t xml:space="preserve"> </w:t>
      </w:r>
      <w:r w:rsidRPr="0036567C">
        <w:rPr>
          <w:rFonts w:ascii="Garamond" w:hAnsi="Garamond" w:cstheme="majorBidi"/>
          <w:sz w:val="16"/>
          <w:szCs w:val="16"/>
        </w:rPr>
        <w:t>Fellah L., étude exploratrice du système de prévention algérien : déterminisme et problématique, thèse de doctorat en sciences économiques, université d’Alger, 1998. P.38.</w:t>
      </w:r>
    </w:p>
  </w:footnote>
  <w:footnote w:id="3">
    <w:p w:rsidR="0011416E" w:rsidRPr="0036567C" w:rsidRDefault="0011416E" w:rsidP="00397CE7">
      <w:pPr>
        <w:pStyle w:val="Notedebasdepage"/>
        <w:rPr>
          <w:rFonts w:ascii="Garamond" w:hAnsi="Garamond"/>
          <w:sz w:val="16"/>
          <w:szCs w:val="16"/>
        </w:rPr>
      </w:pPr>
      <w:r w:rsidRPr="0036567C">
        <w:rPr>
          <w:rStyle w:val="Appelnotedebasdep"/>
          <w:rFonts w:ascii="Garamond" w:hAnsi="Garamond"/>
          <w:sz w:val="16"/>
          <w:szCs w:val="16"/>
        </w:rPr>
        <w:footnoteRef/>
      </w:r>
      <w:r w:rsidRPr="0036567C">
        <w:rPr>
          <w:rFonts w:ascii="Garamond" w:hAnsi="Garamond"/>
          <w:sz w:val="16"/>
          <w:szCs w:val="16"/>
        </w:rPr>
        <w:t xml:space="preserve"> </w:t>
      </w:r>
      <w:r w:rsidRPr="0036567C">
        <w:rPr>
          <w:rFonts w:ascii="Garamond" w:hAnsi="Garamond" w:cstheme="majorBidi"/>
          <w:sz w:val="16"/>
          <w:szCs w:val="16"/>
        </w:rPr>
        <w:t>OMS : statistiques sanitaires mondiales 2013, édition OMS, suisse 2013. P.110.</w:t>
      </w:r>
    </w:p>
  </w:footnote>
  <w:footnote w:id="4">
    <w:p w:rsidR="0011416E" w:rsidRPr="0036567C" w:rsidRDefault="0011416E" w:rsidP="00397CE7">
      <w:pPr>
        <w:pStyle w:val="Notedebasdepage"/>
        <w:rPr>
          <w:rFonts w:ascii="Garamond" w:hAnsi="Garamond"/>
          <w:sz w:val="16"/>
          <w:szCs w:val="16"/>
        </w:rPr>
      </w:pPr>
      <w:r w:rsidRPr="0036567C">
        <w:rPr>
          <w:rStyle w:val="Appelnotedebasdep"/>
          <w:rFonts w:ascii="Garamond" w:hAnsi="Garamond"/>
          <w:sz w:val="16"/>
          <w:szCs w:val="16"/>
        </w:rPr>
        <w:footnoteRef/>
      </w:r>
      <w:r w:rsidRPr="0036567C">
        <w:rPr>
          <w:rFonts w:ascii="Garamond" w:hAnsi="Garamond"/>
          <w:sz w:val="16"/>
          <w:szCs w:val="16"/>
        </w:rPr>
        <w:t xml:space="preserve"> </w:t>
      </w:r>
      <w:r w:rsidRPr="0036567C">
        <w:rPr>
          <w:rFonts w:ascii="Garamond" w:hAnsi="Garamond" w:cstheme="majorBidi"/>
          <w:sz w:val="16"/>
          <w:szCs w:val="16"/>
        </w:rPr>
        <w:t>Idem.</w:t>
      </w:r>
    </w:p>
  </w:footnote>
  <w:footnote w:id="5">
    <w:p w:rsidR="0011416E" w:rsidRPr="0036567C" w:rsidRDefault="0011416E" w:rsidP="001E05A8">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 xml:space="preserve"> TABET DERRAZ N F. et BESTAOUI S : épidémiologie et clinique de la brucellose humaine sur trois décennies en zone endémique, 13</w:t>
      </w:r>
      <w:r w:rsidRPr="0036567C">
        <w:rPr>
          <w:rFonts w:ascii="Garamond" w:hAnsi="Garamond" w:cstheme="majorBidi"/>
          <w:sz w:val="16"/>
          <w:szCs w:val="16"/>
          <w:vertAlign w:val="superscript"/>
        </w:rPr>
        <w:t>ième</w:t>
      </w:r>
      <w:r w:rsidRPr="0036567C">
        <w:rPr>
          <w:rFonts w:ascii="Garamond" w:hAnsi="Garamond" w:cstheme="majorBidi"/>
          <w:sz w:val="16"/>
          <w:szCs w:val="16"/>
        </w:rPr>
        <w:t xml:space="preserve"> journées nationales d’infectiologie, 13 – 15 /06/2012, SIDI BELABBES, Algérie. P.01.</w:t>
      </w:r>
    </w:p>
  </w:footnote>
  <w:footnote w:id="6">
    <w:p w:rsidR="0011416E" w:rsidRPr="0036567C" w:rsidRDefault="0011416E" w:rsidP="001E05A8">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 xml:space="preserve"> INSP : enquête nationale santé, transition épidémiologique et système de santé, Alger novembre 2007. P.59.</w:t>
      </w:r>
    </w:p>
  </w:footnote>
  <w:footnote w:id="7">
    <w:p w:rsidR="0011416E" w:rsidRPr="0036567C" w:rsidRDefault="0011416E" w:rsidP="00024C62">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 xml:space="preserve"> OMS : statistiques sanitaires mondiales, suisse 2013. P. 111. In, http://apps.who.int/iris/bitstream/10665/82056/1/9789242564587_fre.pdf</w:t>
      </w:r>
    </w:p>
  </w:footnote>
  <w:footnote w:id="8">
    <w:p w:rsidR="0011416E" w:rsidRPr="0036567C" w:rsidRDefault="0011416E" w:rsidP="000A3FA8">
      <w:pPr>
        <w:pStyle w:val="Notedebasdepage"/>
        <w:rPr>
          <w:rFonts w:ascii="Garamond" w:hAnsi="Garamond"/>
          <w:sz w:val="16"/>
          <w:szCs w:val="16"/>
        </w:rPr>
      </w:pPr>
      <w:r w:rsidRPr="0036567C">
        <w:rPr>
          <w:rStyle w:val="Appelnotedebasdep"/>
          <w:rFonts w:ascii="Garamond" w:hAnsi="Garamond"/>
          <w:sz w:val="16"/>
          <w:szCs w:val="16"/>
        </w:rPr>
        <w:footnoteRef/>
      </w:r>
      <w:r w:rsidRPr="0036567C">
        <w:rPr>
          <w:rFonts w:ascii="Garamond" w:hAnsi="Garamond"/>
          <w:sz w:val="16"/>
          <w:szCs w:val="16"/>
        </w:rPr>
        <w:t xml:space="preserve"> </w:t>
      </w:r>
      <w:r w:rsidR="007A6408" w:rsidRPr="0036567C">
        <w:rPr>
          <w:rFonts w:ascii="Garamond" w:hAnsi="Garamond" w:cstheme="majorBidi"/>
          <w:sz w:val="16"/>
          <w:szCs w:val="16"/>
        </w:rPr>
        <w:t>Banque</w:t>
      </w:r>
      <w:r w:rsidRPr="0036567C">
        <w:rPr>
          <w:rFonts w:ascii="Garamond" w:hAnsi="Garamond" w:cstheme="majorBidi"/>
          <w:sz w:val="16"/>
          <w:szCs w:val="16"/>
        </w:rPr>
        <w:t xml:space="preserve"> mondiale, Algérie, urbanisation. In, </w:t>
      </w:r>
      <w:hyperlink r:id="rId1" w:history="1">
        <w:r w:rsidRPr="0036567C">
          <w:rPr>
            <w:rStyle w:val="Lienhypertexte"/>
            <w:rFonts w:ascii="Garamond" w:hAnsi="Garamond" w:cstheme="majorBidi"/>
            <w:color w:val="auto"/>
            <w:sz w:val="16"/>
            <w:szCs w:val="16"/>
            <w:u w:val="none"/>
          </w:rPr>
          <w:t>http://perspective.usherbrooke.ca/bilan/servlet/BMTendanceStatPays?langue=fr&amp;codePays=DZA&amp;codeStat=NY.GDP.PCAP.PP.KD&amp;codeStat2=x</w:t>
        </w:r>
      </w:hyperlink>
    </w:p>
  </w:footnote>
  <w:footnote w:id="9">
    <w:p w:rsidR="0011416E" w:rsidRPr="0036567C" w:rsidRDefault="0011416E" w:rsidP="003026B0">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 xml:space="preserve"> Association ENNOUR (aide aux malades atteints du cancer et lutte contre le tabac) : tabagisme en Algérie. In, www.ennour.org</w:t>
      </w:r>
    </w:p>
  </w:footnote>
  <w:footnote w:id="10">
    <w:p w:rsidR="0011416E" w:rsidRPr="0036567C" w:rsidRDefault="0011416E" w:rsidP="003026B0">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OMS : statistiques sanitaires mondiales, Op. Cit. P. 111.</w:t>
      </w:r>
    </w:p>
  </w:footnote>
  <w:footnote w:id="11">
    <w:p w:rsidR="0011416E" w:rsidRPr="0036567C" w:rsidRDefault="0011416E" w:rsidP="003026B0">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 xml:space="preserve"> ONS : enquête emploi auprès des ménages 2011, collections statistiques n°173, série S (statistiques sociales), Alger 2011. P. 6.</w:t>
      </w:r>
    </w:p>
  </w:footnote>
  <w:footnote w:id="12">
    <w:p w:rsidR="0011416E" w:rsidRPr="0036567C" w:rsidRDefault="0011416E" w:rsidP="009F2D69">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 xml:space="preserve"> Unesco, donnes mondiale de l’éducation, 9</w:t>
      </w:r>
      <w:r w:rsidRPr="0036567C">
        <w:rPr>
          <w:rFonts w:ascii="Garamond" w:hAnsi="Garamond" w:cstheme="majorBidi"/>
          <w:sz w:val="16"/>
          <w:szCs w:val="16"/>
          <w:vertAlign w:val="superscript"/>
        </w:rPr>
        <w:t>ième</w:t>
      </w:r>
      <w:r w:rsidRPr="0036567C">
        <w:rPr>
          <w:rFonts w:ascii="Garamond" w:hAnsi="Garamond" w:cstheme="majorBidi"/>
          <w:sz w:val="16"/>
          <w:szCs w:val="16"/>
        </w:rPr>
        <w:t xml:space="preserve"> édition, 2012-2013. P.23. In, http://unesdoc.unesco.org</w:t>
      </w:r>
    </w:p>
  </w:footnote>
  <w:footnote w:id="13">
    <w:p w:rsidR="0011416E" w:rsidRPr="0036567C" w:rsidRDefault="0011416E">
      <w:pPr>
        <w:pStyle w:val="Notedebasdepage"/>
        <w:rPr>
          <w:rFonts w:ascii="Garamond" w:hAnsi="Garamond"/>
          <w:sz w:val="16"/>
          <w:szCs w:val="16"/>
        </w:rPr>
      </w:pPr>
      <w:r w:rsidRPr="0036567C">
        <w:rPr>
          <w:rStyle w:val="Appelnotedebasdep"/>
          <w:rFonts w:ascii="Garamond" w:hAnsi="Garamond"/>
          <w:sz w:val="16"/>
          <w:szCs w:val="16"/>
        </w:rPr>
        <w:footnoteRef/>
      </w:r>
      <w:r w:rsidRPr="0036567C">
        <w:rPr>
          <w:rFonts w:ascii="Garamond" w:hAnsi="Garamond"/>
          <w:sz w:val="16"/>
          <w:szCs w:val="16"/>
        </w:rPr>
        <w:t xml:space="preserve"> </w:t>
      </w:r>
      <w:r w:rsidR="007A6408" w:rsidRPr="0036567C">
        <w:rPr>
          <w:rFonts w:ascii="Garamond" w:eastAsia="Times New Roman" w:hAnsi="Garamond" w:cstheme="majorBidi"/>
          <w:sz w:val="16"/>
          <w:szCs w:val="16"/>
          <w:lang w:eastAsia="fr-FR"/>
        </w:rPr>
        <w:t>La</w:t>
      </w:r>
      <w:r w:rsidRPr="0036567C">
        <w:rPr>
          <w:rFonts w:ascii="Garamond" w:eastAsia="Times New Roman" w:hAnsi="Garamond" w:cstheme="majorBidi"/>
          <w:sz w:val="16"/>
          <w:szCs w:val="16"/>
          <w:lang w:eastAsia="fr-FR"/>
        </w:rPr>
        <w:t xml:space="preserve"> banque mondiale, Algérie ; le PIB par habitant. In, http://perspective.usherbrooke.ca/bilan/servlet/BMTendanceStatPays?langue=fr&amp;codePays=DZA&amp;codeStat=NY.GDP.PCAP.PP.KD&amp;codeStat2=x</w:t>
      </w:r>
    </w:p>
  </w:footnote>
  <w:footnote w:id="14">
    <w:p w:rsidR="0011416E" w:rsidRPr="00126C7A" w:rsidRDefault="0011416E" w:rsidP="00126C7A">
      <w:pPr>
        <w:pStyle w:val="Notedebasdepage"/>
        <w:jc w:val="both"/>
        <w:rPr>
          <w:rFonts w:ascii="Garamond" w:hAnsi="Garamond" w:cstheme="majorBidi"/>
          <w:sz w:val="16"/>
          <w:szCs w:val="16"/>
        </w:rPr>
      </w:pPr>
      <w:r w:rsidRPr="00126C7A">
        <w:rPr>
          <w:rStyle w:val="Appelnotedebasdep"/>
          <w:rFonts w:ascii="Garamond" w:hAnsi="Garamond" w:cstheme="majorBidi"/>
          <w:sz w:val="16"/>
          <w:szCs w:val="16"/>
        </w:rPr>
        <w:footnoteRef/>
      </w:r>
      <w:r w:rsidRPr="00126C7A">
        <w:rPr>
          <w:rFonts w:ascii="Garamond" w:hAnsi="Garamond" w:cstheme="majorBidi"/>
          <w:sz w:val="16"/>
          <w:szCs w:val="16"/>
        </w:rPr>
        <w:t xml:space="preserve"> Brahamia B., économie de santé, évolution et tendance des systèmes de santé. Edition Bahaeddine, Constantine 2010 P.401.</w:t>
      </w:r>
    </w:p>
  </w:footnote>
  <w:footnote w:id="15">
    <w:p w:rsidR="0011416E" w:rsidRPr="0036567C" w:rsidRDefault="0011416E" w:rsidP="004F1EA0">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 xml:space="preserve"> Larbi A., nouvelle carte sanitaire : les secteurs sanitaires se transforment en EPH et EPSP ; 12/07/2007. In, www.santemaghreb.com</w:t>
      </w:r>
    </w:p>
  </w:footnote>
  <w:footnote w:id="16">
    <w:p w:rsidR="0011416E" w:rsidRPr="0036567C" w:rsidRDefault="0011416E" w:rsidP="004F1EA0">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 xml:space="preserve"> Brahamia B., économie de santé, évolution et tendance des systèmes de santé, Op. Cit. P.380.</w:t>
      </w:r>
    </w:p>
  </w:footnote>
  <w:footnote w:id="17">
    <w:p w:rsidR="0011416E" w:rsidRPr="0036567C" w:rsidRDefault="0011416E" w:rsidP="00A16C79">
      <w:pPr>
        <w:pStyle w:val="Notedebasdepage"/>
        <w:rPr>
          <w:rFonts w:ascii="Garamond" w:hAnsi="Garamond"/>
          <w:sz w:val="16"/>
          <w:szCs w:val="16"/>
        </w:rPr>
      </w:pPr>
      <w:r w:rsidRPr="0036567C">
        <w:rPr>
          <w:rStyle w:val="Appelnotedebasdep"/>
          <w:rFonts w:ascii="Garamond" w:hAnsi="Garamond"/>
          <w:sz w:val="16"/>
          <w:szCs w:val="16"/>
        </w:rPr>
        <w:footnoteRef/>
      </w:r>
      <w:r w:rsidRPr="0036567C">
        <w:rPr>
          <w:rFonts w:ascii="Garamond" w:hAnsi="Garamond"/>
          <w:sz w:val="16"/>
          <w:szCs w:val="16"/>
        </w:rPr>
        <w:t xml:space="preserve"> Zehnati A : l’émergence et l’expansion des cliniques privées en Algérie. In, </w:t>
      </w:r>
      <w:r w:rsidRPr="0036567C">
        <w:rPr>
          <w:rFonts w:ascii="Garamond" w:hAnsi="Garamond" w:cs="Arial"/>
          <w:sz w:val="16"/>
          <w:szCs w:val="16"/>
          <w:shd w:val="clear" w:color="auto" w:fill="FFFFFF"/>
        </w:rPr>
        <w:t>www.ebanque-</w:t>
      </w:r>
      <w:r w:rsidRPr="0036567C">
        <w:rPr>
          <w:rFonts w:ascii="Garamond" w:hAnsi="Garamond" w:cs="Arial"/>
          <w:b/>
          <w:bCs/>
          <w:sz w:val="16"/>
          <w:szCs w:val="16"/>
          <w:shd w:val="clear" w:color="auto" w:fill="FFFFFF"/>
        </w:rPr>
        <w:t>pdf</w:t>
      </w:r>
      <w:r w:rsidRPr="0036567C">
        <w:rPr>
          <w:rFonts w:ascii="Garamond" w:hAnsi="Garamond" w:cs="Arial"/>
          <w:sz w:val="16"/>
          <w:szCs w:val="16"/>
          <w:shd w:val="clear" w:color="auto" w:fill="FFFFFF"/>
        </w:rPr>
        <w:t>.com/fr_systeme-de-</w:t>
      </w:r>
      <w:r w:rsidRPr="0036567C">
        <w:rPr>
          <w:rFonts w:ascii="Garamond" w:hAnsi="Garamond" w:cs="Arial"/>
          <w:b/>
          <w:bCs/>
          <w:sz w:val="16"/>
          <w:szCs w:val="16"/>
          <w:shd w:val="clear" w:color="auto" w:fill="FFFFFF"/>
        </w:rPr>
        <w:t>sante</w:t>
      </w:r>
      <w:r w:rsidRPr="0036567C">
        <w:rPr>
          <w:rFonts w:ascii="Garamond" w:hAnsi="Garamond" w:cs="Arial"/>
          <w:sz w:val="16"/>
          <w:szCs w:val="16"/>
          <w:shd w:val="clear" w:color="auto" w:fill="FFFFFF"/>
        </w:rPr>
        <w:t>-</w:t>
      </w:r>
      <w:r w:rsidRPr="0036567C">
        <w:rPr>
          <w:rFonts w:ascii="Garamond" w:hAnsi="Garamond" w:cs="Arial"/>
          <w:b/>
          <w:bCs/>
          <w:sz w:val="16"/>
          <w:szCs w:val="16"/>
          <w:shd w:val="clear" w:color="auto" w:fill="FFFFFF"/>
        </w:rPr>
        <w:t>algerien</w:t>
      </w:r>
      <w:r w:rsidRPr="0036567C">
        <w:rPr>
          <w:rFonts w:ascii="Garamond" w:hAnsi="Garamond" w:cs="Arial"/>
          <w:sz w:val="16"/>
          <w:szCs w:val="16"/>
          <w:shd w:val="clear" w:color="auto" w:fill="FFFFFF"/>
        </w:rPr>
        <w:t>.html</w:t>
      </w:r>
    </w:p>
  </w:footnote>
  <w:footnote w:id="18">
    <w:p w:rsidR="0011416E" w:rsidRPr="0036567C" w:rsidRDefault="0011416E">
      <w:pPr>
        <w:pStyle w:val="Notedebasdepage"/>
        <w:rPr>
          <w:rFonts w:ascii="Garamond" w:hAnsi="Garamond"/>
          <w:sz w:val="16"/>
          <w:szCs w:val="16"/>
        </w:rPr>
      </w:pPr>
      <w:r w:rsidRPr="0036567C">
        <w:rPr>
          <w:rStyle w:val="Appelnotedebasdep"/>
          <w:rFonts w:ascii="Garamond" w:hAnsi="Garamond"/>
          <w:sz w:val="16"/>
          <w:szCs w:val="16"/>
        </w:rPr>
        <w:footnoteRef/>
      </w:r>
      <w:r w:rsidRPr="0036567C">
        <w:rPr>
          <w:rFonts w:ascii="Garamond" w:hAnsi="Garamond"/>
          <w:sz w:val="16"/>
          <w:szCs w:val="16"/>
        </w:rPr>
        <w:t xml:space="preserve"> Zehnati A : les inégalités de répartition des praticiens privés de santé sur le territoire en Algérie. Consulté le 20/03/2015. In, www.erudite.univ-paris-est.pdf</w:t>
      </w:r>
    </w:p>
  </w:footnote>
  <w:footnote w:id="19">
    <w:p w:rsidR="0011416E" w:rsidRPr="0036567C" w:rsidRDefault="0011416E" w:rsidP="009D6D68">
      <w:pPr>
        <w:pStyle w:val="Notedebasdepage"/>
        <w:rPr>
          <w:rFonts w:ascii="Garamond" w:hAnsi="Garamond"/>
          <w:sz w:val="16"/>
          <w:szCs w:val="16"/>
        </w:rPr>
      </w:pPr>
      <w:r w:rsidRPr="0036567C">
        <w:rPr>
          <w:rStyle w:val="Appelnotedebasdep"/>
          <w:rFonts w:ascii="Garamond" w:hAnsi="Garamond"/>
          <w:sz w:val="16"/>
          <w:szCs w:val="16"/>
        </w:rPr>
        <w:footnoteRef/>
      </w:r>
      <w:r w:rsidRPr="0036567C">
        <w:rPr>
          <w:rFonts w:ascii="Garamond" w:hAnsi="Garamond"/>
          <w:sz w:val="16"/>
          <w:szCs w:val="16"/>
        </w:rPr>
        <w:t xml:space="preserve"> </w:t>
      </w:r>
      <w:r w:rsidRPr="0036567C">
        <w:rPr>
          <w:rFonts w:ascii="Garamond" w:hAnsi="Garamond" w:cstheme="majorBidi"/>
          <w:sz w:val="16"/>
          <w:szCs w:val="16"/>
        </w:rPr>
        <w:t>Brahamia B., économie de santé, évolution et tendance des systèmes de santé, Op. Cit. P.395.</w:t>
      </w:r>
    </w:p>
  </w:footnote>
  <w:footnote w:id="20">
    <w:p w:rsidR="0011416E" w:rsidRPr="0036567C" w:rsidRDefault="0011416E" w:rsidP="009D6D68">
      <w:pPr>
        <w:pStyle w:val="Notedebasdepage"/>
        <w:jc w:val="both"/>
        <w:rPr>
          <w:rFonts w:ascii="Garamond" w:hAnsi="Garamond" w:cstheme="majorBidi"/>
          <w:sz w:val="16"/>
          <w:szCs w:val="16"/>
        </w:rPr>
      </w:pPr>
      <w:r w:rsidRPr="0036567C">
        <w:rPr>
          <w:rStyle w:val="Appelnotedebasdep"/>
          <w:rFonts w:ascii="Garamond" w:hAnsi="Garamond" w:cstheme="majorBidi"/>
          <w:sz w:val="16"/>
          <w:szCs w:val="16"/>
        </w:rPr>
        <w:footnoteRef/>
      </w:r>
      <w:r w:rsidRPr="0036567C">
        <w:rPr>
          <w:rFonts w:ascii="Garamond" w:hAnsi="Garamond" w:cstheme="majorBidi"/>
          <w:sz w:val="16"/>
          <w:szCs w:val="16"/>
        </w:rPr>
        <w:t>Idem.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1A5"/>
    <w:multiLevelType w:val="hybridMultilevel"/>
    <w:tmpl w:val="3D540DF6"/>
    <w:lvl w:ilvl="0" w:tplc="2B9ED4C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B73049"/>
    <w:multiLevelType w:val="hybridMultilevel"/>
    <w:tmpl w:val="1A6E47E8"/>
    <w:lvl w:ilvl="0" w:tplc="30DE0DD6">
      <w:numFmt w:val="bullet"/>
      <w:lvlText w:val="-"/>
      <w:lvlJc w:val="left"/>
      <w:pPr>
        <w:ind w:left="720" w:hanging="360"/>
      </w:pPr>
      <w:rPr>
        <w:rFonts w:ascii="Garamond" w:eastAsiaTheme="minorHAnsi" w:hAnsi="Garamond"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0B5290"/>
    <w:multiLevelType w:val="hybridMultilevel"/>
    <w:tmpl w:val="5484C15A"/>
    <w:lvl w:ilvl="0" w:tplc="D58C12A0">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FD34D2"/>
    <w:multiLevelType w:val="hybridMultilevel"/>
    <w:tmpl w:val="856A9C58"/>
    <w:lvl w:ilvl="0" w:tplc="D58C12A0">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B00327"/>
    <w:multiLevelType w:val="multilevel"/>
    <w:tmpl w:val="6A90B7E0"/>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01B0CB9"/>
    <w:multiLevelType w:val="hybridMultilevel"/>
    <w:tmpl w:val="FB885AF8"/>
    <w:lvl w:ilvl="0" w:tplc="935CC4BC">
      <w:start w:val="2"/>
      <w:numFmt w:val="bullet"/>
      <w:lvlText w:val="-"/>
      <w:lvlJc w:val="left"/>
      <w:pPr>
        <w:ind w:left="2136" w:hanging="360"/>
      </w:pPr>
      <w:rPr>
        <w:rFonts w:ascii="Times New Roman" w:eastAsiaTheme="minorHAnsi"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7118632D"/>
    <w:multiLevelType w:val="hybridMultilevel"/>
    <w:tmpl w:val="7A44E292"/>
    <w:lvl w:ilvl="0" w:tplc="9E8E3E6A">
      <w:start w:val="1"/>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5269D3"/>
    <w:multiLevelType w:val="hybridMultilevel"/>
    <w:tmpl w:val="256CF834"/>
    <w:lvl w:ilvl="0" w:tplc="EF5C5032">
      <w:numFmt w:val="bullet"/>
      <w:lvlText w:val=""/>
      <w:lvlJc w:val="left"/>
      <w:pPr>
        <w:ind w:left="720" w:hanging="360"/>
      </w:pPr>
      <w:rPr>
        <w:rFonts w:ascii="Wingdings" w:eastAsiaTheme="minorHAnsi"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4F1EA0"/>
    <w:rsid w:val="00024C62"/>
    <w:rsid w:val="0003428B"/>
    <w:rsid w:val="00071B6D"/>
    <w:rsid w:val="00075704"/>
    <w:rsid w:val="0007582B"/>
    <w:rsid w:val="000A21C4"/>
    <w:rsid w:val="000A3FA8"/>
    <w:rsid w:val="000B3C7B"/>
    <w:rsid w:val="000B6A05"/>
    <w:rsid w:val="000D14FE"/>
    <w:rsid w:val="000E360B"/>
    <w:rsid w:val="000E5B4A"/>
    <w:rsid w:val="0010408A"/>
    <w:rsid w:val="0011416E"/>
    <w:rsid w:val="00126C7A"/>
    <w:rsid w:val="00160A84"/>
    <w:rsid w:val="00181C21"/>
    <w:rsid w:val="001A7CC0"/>
    <w:rsid w:val="001D773D"/>
    <w:rsid w:val="001D78D2"/>
    <w:rsid w:val="001E05A8"/>
    <w:rsid w:val="001E36B8"/>
    <w:rsid w:val="001F05E3"/>
    <w:rsid w:val="00206ED7"/>
    <w:rsid w:val="00214DDD"/>
    <w:rsid w:val="002617D2"/>
    <w:rsid w:val="00262D32"/>
    <w:rsid w:val="002807AC"/>
    <w:rsid w:val="0028646A"/>
    <w:rsid w:val="002913B1"/>
    <w:rsid w:val="002A1A59"/>
    <w:rsid w:val="002B3F01"/>
    <w:rsid w:val="002C1EAD"/>
    <w:rsid w:val="003026B0"/>
    <w:rsid w:val="003373C4"/>
    <w:rsid w:val="00351E62"/>
    <w:rsid w:val="00361A37"/>
    <w:rsid w:val="0036567C"/>
    <w:rsid w:val="0037244B"/>
    <w:rsid w:val="003725A6"/>
    <w:rsid w:val="003948A2"/>
    <w:rsid w:val="00397CE7"/>
    <w:rsid w:val="00426EF3"/>
    <w:rsid w:val="00437056"/>
    <w:rsid w:val="004B0C11"/>
    <w:rsid w:val="004F1EA0"/>
    <w:rsid w:val="005160C0"/>
    <w:rsid w:val="00530F77"/>
    <w:rsid w:val="00566BE5"/>
    <w:rsid w:val="00573318"/>
    <w:rsid w:val="00581463"/>
    <w:rsid w:val="00586123"/>
    <w:rsid w:val="005C5D3C"/>
    <w:rsid w:val="005D5493"/>
    <w:rsid w:val="005F4566"/>
    <w:rsid w:val="006149F9"/>
    <w:rsid w:val="00644F81"/>
    <w:rsid w:val="006A2BC7"/>
    <w:rsid w:val="006E0DC0"/>
    <w:rsid w:val="00724561"/>
    <w:rsid w:val="00752AAC"/>
    <w:rsid w:val="0075389C"/>
    <w:rsid w:val="00770D5E"/>
    <w:rsid w:val="00790E9C"/>
    <w:rsid w:val="007A6408"/>
    <w:rsid w:val="007F19FB"/>
    <w:rsid w:val="00814843"/>
    <w:rsid w:val="0083497B"/>
    <w:rsid w:val="00872A48"/>
    <w:rsid w:val="00883E21"/>
    <w:rsid w:val="008A5B25"/>
    <w:rsid w:val="008D7C31"/>
    <w:rsid w:val="008F7BB0"/>
    <w:rsid w:val="009064E5"/>
    <w:rsid w:val="00914F8B"/>
    <w:rsid w:val="00957D9B"/>
    <w:rsid w:val="009979D4"/>
    <w:rsid w:val="009C0CDA"/>
    <w:rsid w:val="009D6D68"/>
    <w:rsid w:val="009D70C4"/>
    <w:rsid w:val="009F2D69"/>
    <w:rsid w:val="00A01BE4"/>
    <w:rsid w:val="00A16C79"/>
    <w:rsid w:val="00A20CDD"/>
    <w:rsid w:val="00A35320"/>
    <w:rsid w:val="00A831AC"/>
    <w:rsid w:val="00AA0C9C"/>
    <w:rsid w:val="00AD44D7"/>
    <w:rsid w:val="00AE31A5"/>
    <w:rsid w:val="00AE4DA6"/>
    <w:rsid w:val="00AE7475"/>
    <w:rsid w:val="00B0759A"/>
    <w:rsid w:val="00B44991"/>
    <w:rsid w:val="00B861EB"/>
    <w:rsid w:val="00B8784F"/>
    <w:rsid w:val="00B905E3"/>
    <w:rsid w:val="00B93340"/>
    <w:rsid w:val="00BA556C"/>
    <w:rsid w:val="00BD139A"/>
    <w:rsid w:val="00BE142E"/>
    <w:rsid w:val="00C006CE"/>
    <w:rsid w:val="00C077CA"/>
    <w:rsid w:val="00C15B84"/>
    <w:rsid w:val="00C54566"/>
    <w:rsid w:val="00C55276"/>
    <w:rsid w:val="00C616D0"/>
    <w:rsid w:val="00C7189A"/>
    <w:rsid w:val="00C75BB2"/>
    <w:rsid w:val="00C845CD"/>
    <w:rsid w:val="00C905CD"/>
    <w:rsid w:val="00C9191E"/>
    <w:rsid w:val="00CC029F"/>
    <w:rsid w:val="00CC1F63"/>
    <w:rsid w:val="00CC2783"/>
    <w:rsid w:val="00CD1E26"/>
    <w:rsid w:val="00CF17FE"/>
    <w:rsid w:val="00D31B1A"/>
    <w:rsid w:val="00D3213C"/>
    <w:rsid w:val="00D76EBA"/>
    <w:rsid w:val="00D81F13"/>
    <w:rsid w:val="00D935EA"/>
    <w:rsid w:val="00D952D1"/>
    <w:rsid w:val="00DD1037"/>
    <w:rsid w:val="00DD73D3"/>
    <w:rsid w:val="00DE3803"/>
    <w:rsid w:val="00DF2F8B"/>
    <w:rsid w:val="00E024A1"/>
    <w:rsid w:val="00E55FCD"/>
    <w:rsid w:val="00E62F85"/>
    <w:rsid w:val="00EA169E"/>
    <w:rsid w:val="00EC11C5"/>
    <w:rsid w:val="00ED1F37"/>
    <w:rsid w:val="00F17F69"/>
    <w:rsid w:val="00F20892"/>
    <w:rsid w:val="00F62A23"/>
    <w:rsid w:val="00FA394C"/>
    <w:rsid w:val="00FB6C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1EA0"/>
    <w:pPr>
      <w:ind w:left="720"/>
      <w:contextualSpacing/>
    </w:pPr>
  </w:style>
  <w:style w:type="paragraph" w:styleId="Notedebasdepage">
    <w:name w:val="footnote text"/>
    <w:basedOn w:val="Normal"/>
    <w:link w:val="NotedebasdepageCar"/>
    <w:uiPriority w:val="99"/>
    <w:unhideWhenUsed/>
    <w:rsid w:val="004F1EA0"/>
    <w:pPr>
      <w:spacing w:after="0" w:line="240" w:lineRule="auto"/>
    </w:pPr>
    <w:rPr>
      <w:sz w:val="20"/>
      <w:szCs w:val="20"/>
    </w:rPr>
  </w:style>
  <w:style w:type="character" w:customStyle="1" w:styleId="NotedebasdepageCar">
    <w:name w:val="Note de bas de page Car"/>
    <w:basedOn w:val="Policepardfaut"/>
    <w:link w:val="Notedebasdepage"/>
    <w:uiPriority w:val="99"/>
    <w:rsid w:val="004F1EA0"/>
    <w:rPr>
      <w:sz w:val="20"/>
      <w:szCs w:val="20"/>
    </w:rPr>
  </w:style>
  <w:style w:type="character" w:styleId="Appelnotedebasdep">
    <w:name w:val="footnote reference"/>
    <w:basedOn w:val="Policepardfaut"/>
    <w:uiPriority w:val="99"/>
    <w:semiHidden/>
    <w:unhideWhenUsed/>
    <w:rsid w:val="004F1EA0"/>
    <w:rPr>
      <w:vertAlign w:val="superscript"/>
    </w:rPr>
  </w:style>
  <w:style w:type="table" w:styleId="Grilledutableau">
    <w:name w:val="Table Grid"/>
    <w:basedOn w:val="TableauNormal"/>
    <w:uiPriority w:val="59"/>
    <w:rsid w:val="004F1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F1EA0"/>
    <w:rPr>
      <w:color w:val="0000FF" w:themeColor="hyperlink"/>
      <w:u w:val="single"/>
    </w:rPr>
  </w:style>
  <w:style w:type="paragraph" w:styleId="Textedebulles">
    <w:name w:val="Balloon Text"/>
    <w:basedOn w:val="Normal"/>
    <w:link w:val="TextedebullesCar"/>
    <w:uiPriority w:val="99"/>
    <w:semiHidden/>
    <w:unhideWhenUsed/>
    <w:rsid w:val="005861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123"/>
    <w:rPr>
      <w:rFonts w:ascii="Tahoma" w:hAnsi="Tahoma" w:cs="Tahoma"/>
      <w:sz w:val="16"/>
      <w:szCs w:val="16"/>
    </w:rPr>
  </w:style>
  <w:style w:type="table" w:styleId="Ombrageclair">
    <w:name w:val="Light Shading"/>
    <w:basedOn w:val="TableauNormal"/>
    <w:uiPriority w:val="60"/>
    <w:rsid w:val="009D6D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9D6D6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CC02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1443869">
      <w:bodyDiv w:val="1"/>
      <w:marLeft w:val="0"/>
      <w:marRight w:val="0"/>
      <w:marTop w:val="0"/>
      <w:marBottom w:val="0"/>
      <w:divBdr>
        <w:top w:val="none" w:sz="0" w:space="0" w:color="auto"/>
        <w:left w:val="none" w:sz="0" w:space="0" w:color="auto"/>
        <w:bottom w:val="none" w:sz="0" w:space="0" w:color="auto"/>
        <w:right w:val="none" w:sz="0" w:space="0" w:color="auto"/>
      </w:divBdr>
    </w:div>
    <w:div w:id="379939551">
      <w:bodyDiv w:val="1"/>
      <w:marLeft w:val="0"/>
      <w:marRight w:val="0"/>
      <w:marTop w:val="0"/>
      <w:marBottom w:val="0"/>
      <w:divBdr>
        <w:top w:val="none" w:sz="0" w:space="0" w:color="auto"/>
        <w:left w:val="none" w:sz="0" w:space="0" w:color="auto"/>
        <w:bottom w:val="none" w:sz="0" w:space="0" w:color="auto"/>
        <w:right w:val="none" w:sz="0" w:space="0" w:color="auto"/>
      </w:divBdr>
    </w:div>
    <w:div w:id="539973948">
      <w:bodyDiv w:val="1"/>
      <w:marLeft w:val="0"/>
      <w:marRight w:val="0"/>
      <w:marTop w:val="0"/>
      <w:marBottom w:val="0"/>
      <w:divBdr>
        <w:top w:val="none" w:sz="0" w:space="0" w:color="auto"/>
        <w:left w:val="none" w:sz="0" w:space="0" w:color="auto"/>
        <w:bottom w:val="none" w:sz="0" w:space="0" w:color="auto"/>
        <w:right w:val="none" w:sz="0" w:space="0" w:color="auto"/>
      </w:divBdr>
    </w:div>
    <w:div w:id="737628022">
      <w:bodyDiv w:val="1"/>
      <w:marLeft w:val="0"/>
      <w:marRight w:val="0"/>
      <w:marTop w:val="0"/>
      <w:marBottom w:val="0"/>
      <w:divBdr>
        <w:top w:val="none" w:sz="0" w:space="0" w:color="auto"/>
        <w:left w:val="none" w:sz="0" w:space="0" w:color="auto"/>
        <w:bottom w:val="none" w:sz="0" w:space="0" w:color="auto"/>
        <w:right w:val="none" w:sz="0" w:space="0" w:color="auto"/>
      </w:divBdr>
    </w:div>
    <w:div w:id="743139937">
      <w:bodyDiv w:val="1"/>
      <w:marLeft w:val="0"/>
      <w:marRight w:val="0"/>
      <w:marTop w:val="0"/>
      <w:marBottom w:val="0"/>
      <w:divBdr>
        <w:top w:val="none" w:sz="0" w:space="0" w:color="auto"/>
        <w:left w:val="none" w:sz="0" w:space="0" w:color="auto"/>
        <w:bottom w:val="none" w:sz="0" w:space="0" w:color="auto"/>
        <w:right w:val="none" w:sz="0" w:space="0" w:color="auto"/>
      </w:divBdr>
    </w:div>
    <w:div w:id="778840326">
      <w:bodyDiv w:val="1"/>
      <w:marLeft w:val="0"/>
      <w:marRight w:val="0"/>
      <w:marTop w:val="0"/>
      <w:marBottom w:val="0"/>
      <w:divBdr>
        <w:top w:val="none" w:sz="0" w:space="0" w:color="auto"/>
        <w:left w:val="none" w:sz="0" w:space="0" w:color="auto"/>
        <w:bottom w:val="none" w:sz="0" w:space="0" w:color="auto"/>
        <w:right w:val="none" w:sz="0" w:space="0" w:color="auto"/>
      </w:divBdr>
    </w:div>
    <w:div w:id="1314677604">
      <w:bodyDiv w:val="1"/>
      <w:marLeft w:val="0"/>
      <w:marRight w:val="0"/>
      <w:marTop w:val="0"/>
      <w:marBottom w:val="0"/>
      <w:divBdr>
        <w:top w:val="none" w:sz="0" w:space="0" w:color="auto"/>
        <w:left w:val="none" w:sz="0" w:space="0" w:color="auto"/>
        <w:bottom w:val="none" w:sz="0" w:space="0" w:color="auto"/>
        <w:right w:val="none" w:sz="0" w:space="0" w:color="auto"/>
      </w:divBdr>
    </w:div>
    <w:div w:id="16465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ukha_a@yahoo.fr" TargetMode="External"/><Relationship Id="rId13" Type="http://schemas.openxmlformats.org/officeDocument/2006/relationships/image" Target="media/image3.emf"/><Relationship Id="rId18" Type="http://schemas.openxmlformats.org/officeDocument/2006/relationships/hyperlink" Target="http://www.ennou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Feuille_Microsoft_Office_Excel2.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package" Target="embeddings/Feuille_Microsoft_Office_Excel1.xlsx"/><Relationship Id="rId19" Type="http://schemas.openxmlformats.org/officeDocument/2006/relationships/hyperlink" Target="http://perspective.usherbrooke.ca/bilan/servlet/BMTendanceStatPays?langue=fr&amp;codePays=DZA&amp;codeStat=NY.GDP.PCAP.PP.KD&amp;codeStat2=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Feuille_Microsoft_Office_Excel3.xlsx"/></Relationships>
</file>

<file path=word/_rels/footnotes.xml.rels><?xml version="1.0" encoding="UTF-8" standalone="yes"?>
<Relationships xmlns="http://schemas.openxmlformats.org/package/2006/relationships"><Relationship Id="rId1" Type="http://schemas.openxmlformats.org/officeDocument/2006/relationships/hyperlink" Target="http://perspective.usherbrooke.ca/bilan/servlet/BMTendanceStatPays?langue=fr&amp;codePays=DZA&amp;codeStat=NY.GDP.PCAP.PP.KD&amp;codeStat2=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c\Mes%20documents\transition%20sanitaire\chapitre%20II\Classeurarticle%20ROU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c\Mes%20documents\transition%20sanitaire\chapitre%20II\Classeurarticle%20ROU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5446278306553543"/>
          <c:y val="0.19168306009991337"/>
          <c:w val="0.81262241443860184"/>
          <c:h val="0.54379470302649036"/>
        </c:manualLayout>
      </c:layout>
      <c:lineChart>
        <c:grouping val="standard"/>
        <c:ser>
          <c:idx val="0"/>
          <c:order val="0"/>
          <c:tx>
            <c:strRef>
              <c:f>Feuil1!$A$44</c:f>
              <c:strCache>
                <c:ptCount val="1"/>
                <c:pt idx="0">
                  <c:v>La rage</c:v>
                </c:pt>
              </c:strCache>
            </c:strRef>
          </c:tx>
          <c:cat>
            <c:numRef>
              <c:f>Feuil1!$G$43:$AB$43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Feuil1!$G$44:$AB$44</c:f>
              <c:numCache>
                <c:formatCode>General</c:formatCode>
                <c:ptCount val="22"/>
                <c:pt idx="0">
                  <c:v>24.2</c:v>
                </c:pt>
                <c:pt idx="1">
                  <c:v>20.399999999999999</c:v>
                </c:pt>
                <c:pt idx="2">
                  <c:v>24.8</c:v>
                </c:pt>
                <c:pt idx="3">
                  <c:v>31.7</c:v>
                </c:pt>
                <c:pt idx="4">
                  <c:v>36.800000000000004</c:v>
                </c:pt>
                <c:pt idx="5">
                  <c:v>40.5</c:v>
                </c:pt>
                <c:pt idx="6">
                  <c:v>26.7</c:v>
                </c:pt>
                <c:pt idx="7">
                  <c:v>23.2</c:v>
                </c:pt>
                <c:pt idx="8">
                  <c:v>18.899999999999999</c:v>
                </c:pt>
                <c:pt idx="9">
                  <c:v>16.100000000000001</c:v>
                </c:pt>
                <c:pt idx="10">
                  <c:v>15.4</c:v>
                </c:pt>
                <c:pt idx="11">
                  <c:v>21.3</c:v>
                </c:pt>
                <c:pt idx="12">
                  <c:v>23.4</c:v>
                </c:pt>
                <c:pt idx="13">
                  <c:v>11.6</c:v>
                </c:pt>
                <c:pt idx="14">
                  <c:v>23.5</c:v>
                </c:pt>
                <c:pt idx="15">
                  <c:v>30.8</c:v>
                </c:pt>
                <c:pt idx="16">
                  <c:v>15.9</c:v>
                </c:pt>
                <c:pt idx="17">
                  <c:v>31.1</c:v>
                </c:pt>
                <c:pt idx="18">
                  <c:v>28.8</c:v>
                </c:pt>
                <c:pt idx="19">
                  <c:v>19.7</c:v>
                </c:pt>
                <c:pt idx="20">
                  <c:v>17.5</c:v>
                </c:pt>
                <c:pt idx="21">
                  <c:v>18.7</c:v>
                </c:pt>
              </c:numCache>
            </c:numRef>
          </c:val>
        </c:ser>
        <c:ser>
          <c:idx val="1"/>
          <c:order val="1"/>
          <c:tx>
            <c:strRef>
              <c:f>Feuil1!$A$45</c:f>
              <c:strCache>
                <c:ptCount val="1"/>
                <c:pt idx="0">
                  <c:v>La brucellose </c:v>
                </c:pt>
              </c:strCache>
            </c:strRef>
          </c:tx>
          <c:cat>
            <c:numRef>
              <c:f>Feuil1!$G$43:$AB$43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Feuil1!$G$45:$AB$45</c:f>
              <c:numCache>
                <c:formatCode>General</c:formatCode>
                <c:ptCount val="22"/>
                <c:pt idx="0">
                  <c:v>1.1200000000000001</c:v>
                </c:pt>
                <c:pt idx="1">
                  <c:v>2.5299999999999998</c:v>
                </c:pt>
                <c:pt idx="2">
                  <c:v>2.9099999999999997</c:v>
                </c:pt>
                <c:pt idx="3">
                  <c:v>6.88</c:v>
                </c:pt>
                <c:pt idx="4">
                  <c:v>4.8199999999999985</c:v>
                </c:pt>
                <c:pt idx="5">
                  <c:v>9.7100000000000009</c:v>
                </c:pt>
                <c:pt idx="6">
                  <c:v>15.03</c:v>
                </c:pt>
                <c:pt idx="7">
                  <c:v>12.62</c:v>
                </c:pt>
                <c:pt idx="8">
                  <c:v>9.9500000000000028</c:v>
                </c:pt>
                <c:pt idx="9">
                  <c:v>8.120000000000001</c:v>
                </c:pt>
                <c:pt idx="10">
                  <c:v>13.43</c:v>
                </c:pt>
                <c:pt idx="11">
                  <c:v>10.61</c:v>
                </c:pt>
                <c:pt idx="12">
                  <c:v>10.93</c:v>
                </c:pt>
                <c:pt idx="13">
                  <c:v>8.91</c:v>
                </c:pt>
                <c:pt idx="14">
                  <c:v>10.220000000000001</c:v>
                </c:pt>
                <c:pt idx="15">
                  <c:v>24.150000000000031</c:v>
                </c:pt>
                <c:pt idx="16">
                  <c:v>23.86</c:v>
                </c:pt>
                <c:pt idx="17">
                  <c:v>23.14</c:v>
                </c:pt>
                <c:pt idx="18">
                  <c:v>14.94</c:v>
                </c:pt>
                <c:pt idx="19">
                  <c:v>19.399999999999999</c:v>
                </c:pt>
                <c:pt idx="20">
                  <c:v>28.04</c:v>
                </c:pt>
                <c:pt idx="21">
                  <c:v>16.739999999999988</c:v>
                </c:pt>
              </c:numCache>
            </c:numRef>
          </c:val>
        </c:ser>
        <c:ser>
          <c:idx val="2"/>
          <c:order val="2"/>
          <c:tx>
            <c:strRef>
              <c:f>Feuil1!$A$46</c:f>
              <c:strCache>
                <c:ptCount val="1"/>
                <c:pt idx="0">
                  <c:v>La leishmaniose </c:v>
                </c:pt>
              </c:strCache>
            </c:strRef>
          </c:tx>
          <c:cat>
            <c:numRef>
              <c:f>Feuil1!$G$43:$AB$43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Feuil1!$G$46:$AB$46</c:f>
              <c:numCache>
                <c:formatCode>General</c:formatCode>
                <c:ptCount val="22"/>
                <c:pt idx="0">
                  <c:v>8.3500000000000068</c:v>
                </c:pt>
                <c:pt idx="1">
                  <c:v>15.67</c:v>
                </c:pt>
                <c:pt idx="2">
                  <c:v>14.33</c:v>
                </c:pt>
                <c:pt idx="3">
                  <c:v>11.209999999999999</c:v>
                </c:pt>
                <c:pt idx="4">
                  <c:v>5.74</c:v>
                </c:pt>
                <c:pt idx="5">
                  <c:v>6.8599999999999985</c:v>
                </c:pt>
                <c:pt idx="6">
                  <c:v>17.630000000000031</c:v>
                </c:pt>
                <c:pt idx="7">
                  <c:v>34.65</c:v>
                </c:pt>
                <c:pt idx="8">
                  <c:v>23.419999999999987</c:v>
                </c:pt>
                <c:pt idx="9">
                  <c:v>21.89</c:v>
                </c:pt>
                <c:pt idx="10">
                  <c:v>14.92</c:v>
                </c:pt>
                <c:pt idx="11">
                  <c:v>14.66</c:v>
                </c:pt>
                <c:pt idx="12">
                  <c:v>22.3</c:v>
                </c:pt>
                <c:pt idx="13">
                  <c:v>44.3</c:v>
                </c:pt>
                <c:pt idx="14">
                  <c:v>46.7</c:v>
                </c:pt>
                <c:pt idx="15">
                  <c:v>79.3</c:v>
                </c:pt>
                <c:pt idx="16">
                  <c:v>53.1</c:v>
                </c:pt>
                <c:pt idx="17">
                  <c:v>20.149999999999999</c:v>
                </c:pt>
                <c:pt idx="18">
                  <c:v>21.8</c:v>
                </c:pt>
                <c:pt idx="19">
                  <c:v>35.300000000000004</c:v>
                </c:pt>
                <c:pt idx="20">
                  <c:v>36.700000000000003</c:v>
                </c:pt>
                <c:pt idx="21">
                  <c:v>34.800000000000004</c:v>
                </c:pt>
              </c:numCache>
            </c:numRef>
          </c:val>
        </c:ser>
        <c:marker val="1"/>
        <c:axId val="67340928"/>
        <c:axId val="73261440"/>
      </c:lineChart>
      <c:catAx>
        <c:axId val="67340928"/>
        <c:scaling>
          <c:orientation val="minMax"/>
        </c:scaling>
        <c:axPos val="b"/>
        <c:numFmt formatCode="General" sourceLinked="1"/>
        <c:tickLblPos val="nextTo"/>
        <c:crossAx val="73261440"/>
        <c:crosses val="autoZero"/>
        <c:auto val="1"/>
        <c:lblAlgn val="ctr"/>
        <c:lblOffset val="100"/>
      </c:catAx>
      <c:valAx>
        <c:axId val="73261440"/>
        <c:scaling>
          <c:orientation val="minMax"/>
        </c:scaling>
        <c:axPos val="l"/>
        <c:majorGridlines/>
        <c:title>
          <c:tx>
            <c:rich>
              <a:bodyPr rot="-5400000" vert="horz"/>
              <a:lstStyle/>
              <a:p>
                <a:pPr>
                  <a:defRPr/>
                </a:pPr>
                <a:r>
                  <a:rPr lang="fr-FR"/>
                  <a:t>taux/10</a:t>
                </a:r>
                <a:r>
                  <a:rPr lang="fr-FR" baseline="0"/>
                  <a:t>0 000HBTs</a:t>
                </a:r>
                <a:endParaRPr lang="fr-FR"/>
              </a:p>
            </c:rich>
          </c:tx>
        </c:title>
        <c:numFmt formatCode="General" sourceLinked="1"/>
        <c:tickLblPos val="nextTo"/>
        <c:crossAx val="67340928"/>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Feuil1!$A$65</c:f>
              <c:strCache>
                <c:ptCount val="1"/>
                <c:pt idx="0">
                  <c:v>Le sida</c:v>
                </c:pt>
              </c:strCache>
            </c:strRef>
          </c:tx>
          <c:cat>
            <c:numRef>
              <c:f>Feuil1!$B$64:$O$64</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Feuil1!$B$65:$O$65</c:f>
              <c:numCache>
                <c:formatCode>General</c:formatCode>
                <c:ptCount val="14"/>
                <c:pt idx="0">
                  <c:v>413</c:v>
                </c:pt>
                <c:pt idx="1">
                  <c:v>426</c:v>
                </c:pt>
                <c:pt idx="2">
                  <c:v>484</c:v>
                </c:pt>
                <c:pt idx="3">
                  <c:v>527</c:v>
                </c:pt>
                <c:pt idx="4">
                  <c:v>565</c:v>
                </c:pt>
                <c:pt idx="5">
                  <c:v>614</c:v>
                </c:pt>
                <c:pt idx="6">
                  <c:v>642</c:v>
                </c:pt>
                <c:pt idx="7">
                  <c:v>700</c:v>
                </c:pt>
                <c:pt idx="8">
                  <c:v>746</c:v>
                </c:pt>
                <c:pt idx="9">
                  <c:v>837</c:v>
                </c:pt>
                <c:pt idx="10">
                  <c:v>897</c:v>
                </c:pt>
                <c:pt idx="11">
                  <c:v>1028</c:v>
                </c:pt>
                <c:pt idx="12">
                  <c:v>1170</c:v>
                </c:pt>
                <c:pt idx="13">
                  <c:v>1272</c:v>
                </c:pt>
              </c:numCache>
            </c:numRef>
          </c:val>
        </c:ser>
        <c:marker val="1"/>
        <c:axId val="66836736"/>
        <c:axId val="73457664"/>
      </c:lineChart>
      <c:catAx>
        <c:axId val="66836736"/>
        <c:scaling>
          <c:orientation val="minMax"/>
        </c:scaling>
        <c:axPos val="b"/>
        <c:numFmt formatCode="General" sourceLinked="1"/>
        <c:tickLblPos val="nextTo"/>
        <c:crossAx val="73457664"/>
        <c:crosses val="autoZero"/>
        <c:auto val="1"/>
        <c:lblAlgn val="ctr"/>
        <c:lblOffset val="100"/>
      </c:catAx>
      <c:valAx>
        <c:axId val="73457664"/>
        <c:scaling>
          <c:orientation val="minMax"/>
        </c:scaling>
        <c:axPos val="l"/>
        <c:majorGridlines/>
        <c:title>
          <c:tx>
            <c:rich>
              <a:bodyPr rot="-5400000" vert="horz"/>
              <a:lstStyle/>
              <a:p>
                <a:pPr>
                  <a:defRPr/>
                </a:pPr>
                <a:r>
                  <a:rPr lang="fr-FR"/>
                  <a:t>nombre cumulé depuis 1985</a:t>
                </a:r>
              </a:p>
            </c:rich>
          </c:tx>
        </c:title>
        <c:numFmt formatCode="General" sourceLinked="1"/>
        <c:tickLblPos val="nextTo"/>
        <c:crossAx val="66836736"/>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14F6-E26A-4697-A7AD-9F5B63FF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7198</Words>
  <Characters>39591</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2015-04-29T20:17:00Z</dcterms:created>
  <dcterms:modified xsi:type="dcterms:W3CDTF">2015-04-30T03:51:00Z</dcterms:modified>
</cp:coreProperties>
</file>