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05EB" w14:textId="574EC4DD" w:rsidR="006D60DE" w:rsidRPr="00C82E4B" w:rsidRDefault="006D60DE" w:rsidP="006D60DE">
      <w:pPr>
        <w:spacing w:before="120"/>
        <w:rPr>
          <w:rFonts w:ascii="Calibri" w:hAnsi="Calibri"/>
          <w:b/>
          <w:sz w:val="26"/>
          <w:szCs w:val="26"/>
        </w:rPr>
      </w:pPr>
      <w:r w:rsidRPr="00C82E4B">
        <w:rPr>
          <w:rFonts w:ascii="Calibri" w:hAnsi="Calibri"/>
          <w:b/>
          <w:sz w:val="26"/>
          <w:szCs w:val="26"/>
        </w:rPr>
        <w:t xml:space="preserve">Real Estate Forum’s Top </w:t>
      </w:r>
      <w:r w:rsidR="00C82E4B" w:rsidRPr="00C82E4B">
        <w:rPr>
          <w:rFonts w:ascii="Calibri" w:hAnsi="Calibri"/>
          <w:b/>
          <w:sz w:val="26"/>
          <w:szCs w:val="26"/>
        </w:rPr>
        <w:t>Industrial</w:t>
      </w:r>
      <w:r w:rsidRPr="00C82E4B">
        <w:rPr>
          <w:rFonts w:ascii="Calibri" w:hAnsi="Calibri"/>
          <w:b/>
          <w:sz w:val="26"/>
          <w:szCs w:val="26"/>
        </w:rPr>
        <w:t xml:space="preserve"> Brokers 2017</w:t>
      </w:r>
    </w:p>
    <w:p w14:paraId="2524B388" w14:textId="183D8F98" w:rsidR="009837E0" w:rsidRPr="00C82E4B" w:rsidRDefault="009837E0" w:rsidP="006D60DE">
      <w:pPr>
        <w:spacing w:before="12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In the </w:t>
      </w:r>
      <w:r w:rsidR="00C82E4B" w:rsidRPr="00C82E4B">
        <w:rPr>
          <w:rFonts w:ascii="Calibri" w:hAnsi="Calibri"/>
          <w:sz w:val="22"/>
          <w:szCs w:val="22"/>
        </w:rPr>
        <w:t>November/December</w:t>
      </w:r>
      <w:r w:rsidR="00C82E4B" w:rsidRPr="00C82E4B">
        <w:rPr>
          <w:rFonts w:ascii="Calibri" w:hAnsi="Calibri"/>
          <w:sz w:val="22"/>
          <w:szCs w:val="22"/>
        </w:rPr>
        <w:t xml:space="preserve"> </w:t>
      </w:r>
      <w:r w:rsidRPr="00C82E4B">
        <w:rPr>
          <w:rFonts w:ascii="Calibri" w:hAnsi="Calibri"/>
          <w:sz w:val="22"/>
          <w:szCs w:val="22"/>
        </w:rPr>
        <w:t>issue of </w:t>
      </w:r>
      <w:r w:rsidRPr="00C82E4B">
        <w:rPr>
          <w:rFonts w:ascii="Calibri" w:hAnsi="Calibri"/>
          <w:i/>
          <w:sz w:val="22"/>
          <w:szCs w:val="22"/>
        </w:rPr>
        <w:t>Real Estate Forum</w:t>
      </w:r>
      <w:r w:rsidRPr="00C82E4B">
        <w:rPr>
          <w:rFonts w:ascii="Calibri" w:hAnsi="Calibri"/>
          <w:sz w:val="22"/>
          <w:szCs w:val="22"/>
        </w:rPr>
        <w:t>, we will be profiling some of the most prolific leasing and investment sales brokers in the </w:t>
      </w:r>
      <w:r w:rsidR="00E33C8E" w:rsidRPr="00C82E4B">
        <w:rPr>
          <w:rFonts w:ascii="Calibri" w:hAnsi="Calibri"/>
          <w:sz w:val="22"/>
          <w:szCs w:val="22"/>
        </w:rPr>
        <w:t xml:space="preserve">US </w:t>
      </w:r>
      <w:r w:rsidR="00C82E4B" w:rsidRPr="00C82E4B">
        <w:rPr>
          <w:rFonts w:ascii="Calibri" w:hAnsi="Calibri"/>
          <w:sz w:val="22"/>
          <w:szCs w:val="22"/>
        </w:rPr>
        <w:t xml:space="preserve">industrial </w:t>
      </w:r>
      <w:r w:rsidRPr="00C82E4B">
        <w:rPr>
          <w:rFonts w:ascii="Calibri" w:hAnsi="Calibri"/>
          <w:sz w:val="22"/>
          <w:szCs w:val="22"/>
        </w:rPr>
        <w:t>real estate sector. This feature will rank the top agents throughout the country, based on a years’ worth of transaction activity.</w:t>
      </w:r>
    </w:p>
    <w:p w14:paraId="0C0833DD" w14:textId="77777777" w:rsidR="006D60DE" w:rsidRPr="00C82E4B" w:rsidRDefault="006D60DE" w:rsidP="006D60DE">
      <w:pPr>
        <w:spacing w:before="12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Because this form automatically </w:t>
      </w:r>
      <w:r w:rsidRPr="00C82E4B">
        <w:rPr>
          <w:rFonts w:ascii="Calibri" w:hAnsi="Calibri"/>
          <w:sz w:val="22"/>
          <w:szCs w:val="22"/>
          <w:u w:val="single"/>
        </w:rPr>
        <w:t>times out</w:t>
      </w:r>
      <w:r w:rsidRPr="00C82E4B">
        <w:rPr>
          <w:rFonts w:ascii="Calibri" w:hAnsi="Calibri"/>
          <w:sz w:val="22"/>
          <w:szCs w:val="22"/>
        </w:rPr>
        <w:t xml:space="preserve"> after a prolonged period of inactivity, we suggest you have all your information on hand before you start, and copy and paste into the appropriate fields. </w:t>
      </w:r>
    </w:p>
    <w:p w14:paraId="49E245E5" w14:textId="77777777" w:rsidR="001359A9" w:rsidRPr="00C82E4B" w:rsidRDefault="001359A9" w:rsidP="006D60DE">
      <w:pPr>
        <w:spacing w:before="120"/>
        <w:rPr>
          <w:rFonts w:ascii="Calibri" w:hAnsi="Calibri"/>
          <w:sz w:val="22"/>
          <w:szCs w:val="22"/>
        </w:rPr>
      </w:pPr>
    </w:p>
    <w:p w14:paraId="546AA855" w14:textId="77777777" w:rsidR="006D60DE" w:rsidRPr="00C82E4B" w:rsidRDefault="006D60DE" w:rsidP="006D60DE">
      <w:pPr>
        <w:spacing w:before="120"/>
        <w:rPr>
          <w:rFonts w:ascii="Calibri" w:hAnsi="Calibri"/>
          <w:b/>
          <w:u w:val="single"/>
        </w:rPr>
      </w:pPr>
      <w:r w:rsidRPr="00C82E4B">
        <w:rPr>
          <w:rFonts w:ascii="Calibri" w:hAnsi="Calibri"/>
          <w:b/>
          <w:color w:val="2F5496" w:themeColor="accent5" w:themeShade="BF"/>
          <w:u w:val="single"/>
        </w:rPr>
        <w:t>RULES &amp; REQUIREMENTS</w:t>
      </w:r>
    </w:p>
    <w:p w14:paraId="1AC897E7" w14:textId="66C45AB2" w:rsidR="006D60DE" w:rsidRPr="00C82E4B" w:rsidRDefault="00113787" w:rsidP="006D60DE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b/>
          <w:sz w:val="22"/>
          <w:szCs w:val="22"/>
        </w:rPr>
        <w:t>Deadline</w:t>
      </w:r>
      <w:r w:rsidRPr="00C82E4B">
        <w:rPr>
          <w:rFonts w:ascii="Calibri" w:hAnsi="Calibri"/>
          <w:sz w:val="22"/>
          <w:szCs w:val="22"/>
        </w:rPr>
        <w:t xml:space="preserve"> for submissions is </w:t>
      </w:r>
      <w:r w:rsidRPr="00C82E4B">
        <w:rPr>
          <w:rFonts w:ascii="Calibri" w:hAnsi="Calibri"/>
          <w:b/>
          <w:sz w:val="22"/>
          <w:szCs w:val="22"/>
        </w:rPr>
        <w:t xml:space="preserve">Wednesday, </w:t>
      </w:r>
      <w:r w:rsidR="00C82E4B" w:rsidRPr="00C82E4B">
        <w:rPr>
          <w:rFonts w:ascii="Calibri" w:hAnsi="Calibri"/>
          <w:b/>
          <w:sz w:val="22"/>
          <w:szCs w:val="22"/>
        </w:rPr>
        <w:t>October 17</w:t>
      </w:r>
      <w:r w:rsidRPr="00C82E4B">
        <w:rPr>
          <w:rFonts w:ascii="Calibri" w:hAnsi="Calibri"/>
          <w:sz w:val="22"/>
          <w:szCs w:val="22"/>
        </w:rPr>
        <w:t xml:space="preserve">. </w:t>
      </w:r>
    </w:p>
    <w:p w14:paraId="1C783649" w14:textId="277A4ACE" w:rsidR="00EA3B45" w:rsidRPr="00C82E4B" w:rsidRDefault="009837E0" w:rsidP="006D60DE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 xml:space="preserve">All transactions represented in the totals submitted must </w:t>
      </w:r>
      <w:r w:rsidR="00113787" w:rsidRPr="00C82E4B">
        <w:rPr>
          <w:rFonts w:ascii="Calibri" w:hAnsi="Calibri"/>
          <w:sz w:val="22"/>
          <w:szCs w:val="22"/>
        </w:rPr>
        <w:t xml:space="preserve">be </w:t>
      </w:r>
      <w:r w:rsidR="00113787" w:rsidRPr="00C82E4B">
        <w:rPr>
          <w:rFonts w:ascii="Calibri" w:hAnsi="Calibri"/>
          <w:b/>
          <w:sz w:val="22"/>
          <w:szCs w:val="22"/>
        </w:rPr>
        <w:t>commissionable</w:t>
      </w:r>
      <w:r w:rsidR="00C82E4B" w:rsidRPr="00C82E4B">
        <w:rPr>
          <w:rFonts w:ascii="Calibri" w:hAnsi="Calibri"/>
          <w:b/>
          <w:sz w:val="22"/>
          <w:szCs w:val="22"/>
        </w:rPr>
        <w:t xml:space="preserve"> industrial deals</w:t>
      </w:r>
      <w:r w:rsidR="00113787" w:rsidRPr="00C82E4B">
        <w:rPr>
          <w:rFonts w:ascii="Calibri" w:hAnsi="Calibri"/>
          <w:sz w:val="22"/>
          <w:szCs w:val="22"/>
        </w:rPr>
        <w:t xml:space="preserve"> that closed </w:t>
      </w:r>
      <w:r w:rsidR="00EA3B45" w:rsidRPr="00C82E4B">
        <w:rPr>
          <w:rFonts w:ascii="Calibri" w:hAnsi="Calibri"/>
          <w:sz w:val="22"/>
          <w:szCs w:val="22"/>
        </w:rPr>
        <w:t xml:space="preserve">in the 12-month period </w:t>
      </w:r>
      <w:r w:rsidRPr="00C82E4B">
        <w:rPr>
          <w:rFonts w:ascii="Calibri" w:hAnsi="Calibri"/>
          <w:sz w:val="22"/>
          <w:szCs w:val="22"/>
        </w:rPr>
        <w:t>between July 1, 2016 and June 30, 2017</w:t>
      </w:r>
      <w:r w:rsidR="00B47B27" w:rsidRPr="00C82E4B">
        <w:rPr>
          <w:rFonts w:ascii="Calibri" w:hAnsi="Calibri"/>
          <w:sz w:val="22"/>
          <w:szCs w:val="22"/>
        </w:rPr>
        <w:t xml:space="preserve">. Pending transactions should not be included. </w:t>
      </w:r>
    </w:p>
    <w:p w14:paraId="4AC75F4B" w14:textId="77777777" w:rsidR="00EA3B45" w:rsidRPr="00C82E4B" w:rsidRDefault="00EA3B45" w:rsidP="006D60D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N</w:t>
      </w:r>
      <w:r w:rsidR="009837E0" w:rsidRPr="00C82E4B">
        <w:rPr>
          <w:rFonts w:ascii="Calibri" w:hAnsi="Calibri"/>
          <w:sz w:val="22"/>
          <w:szCs w:val="22"/>
        </w:rPr>
        <w:t xml:space="preserve">ominees </w:t>
      </w:r>
      <w:r w:rsidR="009837E0" w:rsidRPr="00C82E4B">
        <w:rPr>
          <w:rFonts w:ascii="Calibri" w:hAnsi="Calibri"/>
          <w:b/>
          <w:sz w:val="22"/>
          <w:szCs w:val="22"/>
        </w:rPr>
        <w:t>must</w:t>
      </w:r>
      <w:r w:rsidR="009837E0" w:rsidRPr="00C82E4B">
        <w:rPr>
          <w:rFonts w:ascii="Calibri" w:hAnsi="Calibri"/>
          <w:sz w:val="22"/>
          <w:szCs w:val="22"/>
        </w:rPr>
        <w:t xml:space="preserve"> have been </w:t>
      </w:r>
      <w:r w:rsidR="009837E0" w:rsidRPr="00C82E4B">
        <w:rPr>
          <w:rFonts w:ascii="Calibri" w:hAnsi="Calibri"/>
          <w:b/>
          <w:sz w:val="22"/>
          <w:szCs w:val="22"/>
        </w:rPr>
        <w:t>directly </w:t>
      </w:r>
      <w:r w:rsidR="009837E0" w:rsidRPr="00C82E4B">
        <w:rPr>
          <w:rFonts w:ascii="Calibri" w:hAnsi="Calibri"/>
          <w:sz w:val="22"/>
          <w:szCs w:val="22"/>
        </w:rPr>
        <w:t>involved with the transactions</w:t>
      </w:r>
      <w:r w:rsidRPr="00C82E4B">
        <w:rPr>
          <w:rFonts w:ascii="Calibri" w:hAnsi="Calibri"/>
          <w:sz w:val="22"/>
          <w:szCs w:val="22"/>
        </w:rPr>
        <w:t xml:space="preserve"> included in the totals. If submitting a team, </w:t>
      </w:r>
      <w:r w:rsidRPr="00C82E4B">
        <w:rPr>
          <w:rFonts w:ascii="Calibri" w:hAnsi="Calibri"/>
          <w:b/>
          <w:sz w:val="22"/>
          <w:szCs w:val="22"/>
        </w:rPr>
        <w:t>all</w:t>
      </w:r>
      <w:r w:rsidRPr="00C82E4B">
        <w:rPr>
          <w:rFonts w:ascii="Calibri" w:hAnsi="Calibri"/>
          <w:sz w:val="22"/>
          <w:szCs w:val="22"/>
        </w:rPr>
        <w:t xml:space="preserve"> team members must have played a role in the compl</w:t>
      </w:r>
      <w:bookmarkStart w:id="0" w:name="_GoBack"/>
      <w:bookmarkEnd w:id="0"/>
      <w:r w:rsidRPr="00C82E4B">
        <w:rPr>
          <w:rFonts w:ascii="Calibri" w:hAnsi="Calibri"/>
          <w:sz w:val="22"/>
          <w:szCs w:val="22"/>
        </w:rPr>
        <w:t xml:space="preserve">etion of </w:t>
      </w:r>
      <w:r w:rsidRPr="00C82E4B">
        <w:rPr>
          <w:rFonts w:ascii="Calibri" w:hAnsi="Calibri"/>
          <w:b/>
          <w:sz w:val="22"/>
          <w:szCs w:val="22"/>
        </w:rPr>
        <w:t>every single transaction</w:t>
      </w:r>
      <w:r w:rsidRPr="00C82E4B">
        <w:rPr>
          <w:rFonts w:ascii="Calibri" w:hAnsi="Calibri"/>
          <w:sz w:val="22"/>
          <w:szCs w:val="22"/>
        </w:rPr>
        <w:t xml:space="preserve"> on the deal sheet.</w:t>
      </w:r>
    </w:p>
    <w:p w14:paraId="5D9F92BE" w14:textId="3886DA9D" w:rsidR="002F41B7" w:rsidRPr="00C82E4B" w:rsidRDefault="004E13BE" w:rsidP="006D60D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 xml:space="preserve">All transactions included in overall numbers must </w:t>
      </w:r>
      <w:r w:rsidR="006D60DE" w:rsidRPr="00C82E4B">
        <w:rPr>
          <w:rFonts w:ascii="Calibri" w:hAnsi="Calibri"/>
          <w:sz w:val="22"/>
          <w:szCs w:val="22"/>
        </w:rPr>
        <w:t xml:space="preserve">involve </w:t>
      </w:r>
      <w:r w:rsidR="00C82E4B" w:rsidRPr="00C82E4B">
        <w:rPr>
          <w:rFonts w:ascii="Calibri" w:hAnsi="Calibri"/>
          <w:b/>
          <w:sz w:val="22"/>
          <w:szCs w:val="22"/>
        </w:rPr>
        <w:t xml:space="preserve">industrial </w:t>
      </w:r>
      <w:r w:rsidR="006D60DE" w:rsidRPr="00C82E4B">
        <w:rPr>
          <w:rFonts w:ascii="Calibri" w:hAnsi="Calibri"/>
          <w:b/>
          <w:sz w:val="22"/>
          <w:szCs w:val="22"/>
        </w:rPr>
        <w:t>properties</w:t>
      </w:r>
      <w:r w:rsidR="006D60DE" w:rsidRPr="00C82E4B">
        <w:rPr>
          <w:rFonts w:ascii="Calibri" w:hAnsi="Calibri"/>
          <w:sz w:val="22"/>
          <w:szCs w:val="22"/>
        </w:rPr>
        <w:t xml:space="preserve"> </w:t>
      </w:r>
      <w:r w:rsidR="006D60DE" w:rsidRPr="00C82E4B">
        <w:rPr>
          <w:rFonts w:ascii="Calibri" w:hAnsi="Calibri"/>
          <w:b/>
          <w:sz w:val="22"/>
          <w:szCs w:val="22"/>
        </w:rPr>
        <w:t>only</w:t>
      </w:r>
      <w:r w:rsidRPr="00C82E4B">
        <w:rPr>
          <w:rFonts w:ascii="Calibri" w:hAnsi="Calibri"/>
          <w:sz w:val="22"/>
          <w:szCs w:val="22"/>
        </w:rPr>
        <w:t xml:space="preserve">.  </w:t>
      </w:r>
    </w:p>
    <w:p w14:paraId="4DCD5C56" w14:textId="77777777" w:rsidR="00B47B27" w:rsidRPr="00C82E4B" w:rsidRDefault="00C941D3" w:rsidP="006D60D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b/>
          <w:sz w:val="22"/>
          <w:szCs w:val="22"/>
        </w:rPr>
        <w:t>Do not combine transactions in separate categories</w:t>
      </w:r>
      <w:r w:rsidRPr="00C82E4B">
        <w:rPr>
          <w:rFonts w:ascii="Calibri" w:hAnsi="Calibri"/>
          <w:sz w:val="22"/>
          <w:szCs w:val="22"/>
        </w:rPr>
        <w:t>; t</w:t>
      </w:r>
      <w:r w:rsidR="00EA3B45" w:rsidRPr="00C82E4B">
        <w:rPr>
          <w:rFonts w:ascii="Calibri" w:hAnsi="Calibri"/>
          <w:sz w:val="22"/>
          <w:szCs w:val="22"/>
        </w:rPr>
        <w:t>ransact</w:t>
      </w:r>
      <w:r w:rsidR="00B47B27" w:rsidRPr="00C82E4B">
        <w:rPr>
          <w:rFonts w:ascii="Calibri" w:hAnsi="Calibri"/>
          <w:sz w:val="22"/>
          <w:szCs w:val="22"/>
        </w:rPr>
        <w:t>ions included in the numbers submitted must be in the appropriate category. If you are entering in the </w:t>
      </w:r>
      <w:r w:rsidR="00B47B27" w:rsidRPr="00C82E4B">
        <w:rPr>
          <w:rFonts w:ascii="Calibri" w:hAnsi="Calibri"/>
          <w:i/>
          <w:sz w:val="22"/>
          <w:szCs w:val="22"/>
        </w:rPr>
        <w:t>leasing </w:t>
      </w:r>
      <w:r w:rsidR="00B47B27" w:rsidRPr="00C82E4B">
        <w:rPr>
          <w:rFonts w:ascii="Calibri" w:hAnsi="Calibri"/>
          <w:sz w:val="22"/>
          <w:szCs w:val="22"/>
        </w:rPr>
        <w:t>category, please submit </w:t>
      </w:r>
      <w:r w:rsidR="00B47B27" w:rsidRPr="00C82E4B">
        <w:rPr>
          <w:rFonts w:ascii="Calibri" w:hAnsi="Calibri"/>
          <w:i/>
          <w:sz w:val="22"/>
          <w:szCs w:val="22"/>
        </w:rPr>
        <w:t>leasing </w:t>
      </w:r>
      <w:r w:rsidR="00B47B27" w:rsidRPr="00C82E4B">
        <w:rPr>
          <w:rFonts w:ascii="Calibri" w:hAnsi="Calibri"/>
          <w:sz w:val="22"/>
          <w:szCs w:val="22"/>
        </w:rPr>
        <w:t>transactions only. If you are entering in the </w:t>
      </w:r>
      <w:r w:rsidR="00B47B27" w:rsidRPr="00C82E4B">
        <w:rPr>
          <w:rFonts w:ascii="Calibri" w:hAnsi="Calibri"/>
          <w:i/>
          <w:sz w:val="22"/>
          <w:szCs w:val="22"/>
        </w:rPr>
        <w:t>sales </w:t>
      </w:r>
      <w:r w:rsidR="00B47B27" w:rsidRPr="00C82E4B">
        <w:rPr>
          <w:rFonts w:ascii="Calibri" w:hAnsi="Calibri"/>
          <w:sz w:val="22"/>
          <w:szCs w:val="22"/>
        </w:rPr>
        <w:t>category, please submit </w:t>
      </w:r>
      <w:r w:rsidR="00B47B27" w:rsidRPr="00C82E4B">
        <w:rPr>
          <w:rFonts w:ascii="Calibri" w:hAnsi="Calibri"/>
          <w:i/>
          <w:sz w:val="22"/>
          <w:szCs w:val="22"/>
        </w:rPr>
        <w:t>sales </w:t>
      </w:r>
      <w:r w:rsidR="00B47B27" w:rsidRPr="00C82E4B">
        <w:rPr>
          <w:rFonts w:ascii="Calibri" w:hAnsi="Calibri"/>
          <w:sz w:val="22"/>
          <w:szCs w:val="22"/>
        </w:rPr>
        <w:t>transactions only. </w:t>
      </w:r>
    </w:p>
    <w:p w14:paraId="5A5C3CDC" w14:textId="77777777" w:rsidR="00A12750" w:rsidRPr="00C82E4B" w:rsidRDefault="00C941D3" w:rsidP="006D60DE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For instance, say a nominee handled 40 lease deals a</w:t>
      </w:r>
      <w:r w:rsidR="00A12750" w:rsidRPr="00C82E4B">
        <w:rPr>
          <w:rFonts w:ascii="Calibri" w:hAnsi="Calibri"/>
          <w:sz w:val="22"/>
          <w:szCs w:val="22"/>
        </w:rPr>
        <w:t>nd 20 sales deals during the 12-</w:t>
      </w:r>
      <w:r w:rsidRPr="00C82E4B">
        <w:rPr>
          <w:rFonts w:ascii="Calibri" w:hAnsi="Calibri"/>
          <w:sz w:val="22"/>
          <w:szCs w:val="22"/>
        </w:rPr>
        <w:t xml:space="preserve">month period. You would enter two separate nominations—one in the leasing category, with 40 deals and another in the sales category with 20 deals. You </w:t>
      </w:r>
      <w:r w:rsidRPr="00C82E4B">
        <w:rPr>
          <w:rFonts w:ascii="Calibri" w:hAnsi="Calibri"/>
          <w:b/>
          <w:i/>
          <w:sz w:val="22"/>
          <w:szCs w:val="22"/>
        </w:rPr>
        <w:t>would not</w:t>
      </w:r>
      <w:r w:rsidRPr="00C82E4B">
        <w:rPr>
          <w:rFonts w:ascii="Calibri" w:hAnsi="Calibri"/>
          <w:sz w:val="22"/>
          <w:szCs w:val="22"/>
        </w:rPr>
        <w:t xml:space="preserve"> </w:t>
      </w:r>
      <w:r w:rsidR="00A12750" w:rsidRPr="00C82E4B">
        <w:rPr>
          <w:rFonts w:ascii="Calibri" w:hAnsi="Calibri"/>
          <w:sz w:val="22"/>
          <w:szCs w:val="22"/>
        </w:rPr>
        <w:t xml:space="preserve">submit a single nomination with 60 total deals. </w:t>
      </w:r>
    </w:p>
    <w:p w14:paraId="6307BA6C" w14:textId="77777777" w:rsidR="00DA5967" w:rsidRPr="00C82E4B" w:rsidRDefault="00B47B27" w:rsidP="00DA596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If the nominee(s)</w:t>
      </w:r>
      <w:r w:rsidR="00A12750" w:rsidRPr="00C82E4B">
        <w:rPr>
          <w:rFonts w:ascii="Calibri" w:hAnsi="Calibri"/>
          <w:sz w:val="22"/>
          <w:szCs w:val="22"/>
        </w:rPr>
        <w:t xml:space="preserve"> brokered </w:t>
      </w:r>
      <w:r w:rsidR="00A12750" w:rsidRPr="00C82E4B">
        <w:rPr>
          <w:rFonts w:ascii="Calibri" w:hAnsi="Calibri"/>
          <w:b/>
          <w:sz w:val="22"/>
          <w:szCs w:val="22"/>
        </w:rPr>
        <w:t>both</w:t>
      </w:r>
      <w:r w:rsidR="00A12750" w:rsidRPr="00C82E4B">
        <w:rPr>
          <w:rFonts w:ascii="Calibri" w:hAnsi="Calibri"/>
          <w:sz w:val="22"/>
          <w:szCs w:val="22"/>
        </w:rPr>
        <w:t xml:space="preserve"> sides of a deal—</w:t>
      </w:r>
      <w:r w:rsidRPr="00C82E4B">
        <w:rPr>
          <w:rFonts w:ascii="Calibri" w:hAnsi="Calibri"/>
          <w:sz w:val="22"/>
          <w:szCs w:val="22"/>
        </w:rPr>
        <w:t>represented and received commission from</w:t>
      </w:r>
      <w:r w:rsidR="00A12750" w:rsidRPr="00C82E4B">
        <w:rPr>
          <w:rFonts w:ascii="Calibri" w:hAnsi="Calibri"/>
          <w:sz w:val="22"/>
          <w:szCs w:val="22"/>
        </w:rPr>
        <w:t xml:space="preserve"> both parties in the transaction—</w:t>
      </w:r>
      <w:r w:rsidRPr="00C82E4B">
        <w:rPr>
          <w:rFonts w:ascii="Calibri" w:hAnsi="Calibri"/>
          <w:sz w:val="22"/>
          <w:szCs w:val="22"/>
        </w:rPr>
        <w:t xml:space="preserve">you may enter the deal </w:t>
      </w:r>
      <w:r w:rsidRPr="00C82E4B">
        <w:rPr>
          <w:rFonts w:ascii="Calibri" w:hAnsi="Calibri"/>
          <w:b/>
          <w:sz w:val="22"/>
          <w:szCs w:val="22"/>
        </w:rPr>
        <w:t>t</w:t>
      </w:r>
      <w:r w:rsidR="00A12750" w:rsidRPr="00C82E4B">
        <w:rPr>
          <w:rFonts w:ascii="Calibri" w:hAnsi="Calibri"/>
          <w:b/>
          <w:sz w:val="22"/>
          <w:szCs w:val="22"/>
        </w:rPr>
        <w:t>wice</w:t>
      </w:r>
      <w:r w:rsidR="00A12750" w:rsidRPr="00C82E4B">
        <w:rPr>
          <w:rFonts w:ascii="Calibri" w:hAnsi="Calibri"/>
          <w:sz w:val="22"/>
          <w:szCs w:val="22"/>
        </w:rPr>
        <w:t xml:space="preserve"> (2 deals, and SF and value twice). </w:t>
      </w:r>
    </w:p>
    <w:p w14:paraId="6838ACDC" w14:textId="0609F8C0" w:rsidR="001359A9" w:rsidRPr="00C82E4B" w:rsidRDefault="00DA5967" w:rsidP="001359A9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b/>
          <w:sz w:val="22"/>
          <w:szCs w:val="22"/>
        </w:rPr>
        <w:t>Acreage:</w:t>
      </w:r>
      <w:r w:rsidRPr="00C82E4B">
        <w:rPr>
          <w:rFonts w:ascii="Calibri" w:hAnsi="Calibri"/>
          <w:sz w:val="22"/>
          <w:szCs w:val="22"/>
        </w:rPr>
        <w:t xml:space="preserve"> For the purposes of this survey, </w:t>
      </w:r>
      <w:r w:rsidR="00C82E4B" w:rsidRPr="00C82E4B">
        <w:rPr>
          <w:rFonts w:ascii="Calibri" w:hAnsi="Calibri"/>
          <w:sz w:val="22"/>
          <w:szCs w:val="22"/>
        </w:rPr>
        <w:t xml:space="preserve">unless the land has been entitled for a specific square footage, we convert acreage into square footage. Therefore, one (1) </w:t>
      </w:r>
      <w:r w:rsidRPr="00C82E4B">
        <w:rPr>
          <w:rFonts w:ascii="Calibri" w:hAnsi="Calibri"/>
          <w:sz w:val="22"/>
          <w:szCs w:val="22"/>
        </w:rPr>
        <w:t xml:space="preserve">acre </w:t>
      </w:r>
      <w:r w:rsidR="00C82E4B" w:rsidRPr="00C82E4B">
        <w:rPr>
          <w:rFonts w:ascii="Calibri" w:hAnsi="Calibri"/>
          <w:sz w:val="22"/>
          <w:szCs w:val="22"/>
        </w:rPr>
        <w:t xml:space="preserve">would equal </w:t>
      </w:r>
      <w:r w:rsidRPr="00C82E4B">
        <w:rPr>
          <w:rFonts w:ascii="Calibri" w:hAnsi="Calibri"/>
          <w:sz w:val="22"/>
          <w:szCs w:val="22"/>
        </w:rPr>
        <w:t xml:space="preserve">43, 560 square feet of space. So a 3-acre sale of land </w:t>
      </w:r>
      <w:r w:rsidR="00C82E4B" w:rsidRPr="00C82E4B">
        <w:rPr>
          <w:rFonts w:ascii="Calibri" w:hAnsi="Calibri"/>
          <w:sz w:val="22"/>
          <w:szCs w:val="22"/>
        </w:rPr>
        <w:t xml:space="preserve">would be entered as </w:t>
      </w:r>
      <w:r w:rsidRPr="00C82E4B">
        <w:rPr>
          <w:rFonts w:ascii="Calibri" w:hAnsi="Calibri"/>
          <w:sz w:val="22"/>
          <w:szCs w:val="22"/>
        </w:rPr>
        <w:t>130,680 sf</w:t>
      </w:r>
      <w:r w:rsidR="00C82E4B" w:rsidRPr="00C82E4B">
        <w:rPr>
          <w:rFonts w:ascii="Calibri" w:hAnsi="Calibri"/>
          <w:sz w:val="22"/>
          <w:szCs w:val="22"/>
        </w:rPr>
        <w:t xml:space="preserve"> of industrial space</w:t>
      </w:r>
      <w:r w:rsidRPr="00C82E4B">
        <w:rPr>
          <w:rFonts w:ascii="Calibri" w:hAnsi="Calibri"/>
          <w:sz w:val="22"/>
          <w:szCs w:val="22"/>
        </w:rPr>
        <w:t xml:space="preserve">. </w:t>
      </w:r>
    </w:p>
    <w:p w14:paraId="1ACD8280" w14:textId="614C5EEB" w:rsidR="006D60DE" w:rsidRPr="00C82E4B" w:rsidRDefault="006D60DE" w:rsidP="001359A9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In order to even the playing field between nominees in varying markets, the editors have developed the following methodology: All nominees will be given a score for the three fields on the form—total </w:t>
      </w:r>
      <w:r w:rsidRPr="00C82E4B">
        <w:rPr>
          <w:rFonts w:ascii="Calibri" w:hAnsi="Calibri"/>
          <w:i/>
          <w:sz w:val="22"/>
          <w:szCs w:val="22"/>
        </w:rPr>
        <w:t>number</w:t>
      </w:r>
      <w:r w:rsidRPr="00C82E4B">
        <w:rPr>
          <w:rFonts w:ascii="Calibri" w:hAnsi="Calibri"/>
          <w:sz w:val="22"/>
          <w:szCs w:val="22"/>
        </w:rPr>
        <w:t>, total </w:t>
      </w:r>
      <w:r w:rsidRPr="00C82E4B">
        <w:rPr>
          <w:rFonts w:ascii="Calibri" w:hAnsi="Calibri"/>
          <w:i/>
          <w:sz w:val="22"/>
          <w:szCs w:val="22"/>
        </w:rPr>
        <w:t>dollar volume </w:t>
      </w:r>
      <w:r w:rsidRPr="00C82E4B">
        <w:rPr>
          <w:rFonts w:ascii="Calibri" w:hAnsi="Calibri"/>
          <w:sz w:val="22"/>
          <w:szCs w:val="22"/>
        </w:rPr>
        <w:t>and total </w:t>
      </w:r>
      <w:r w:rsidRPr="00C82E4B">
        <w:rPr>
          <w:rFonts w:ascii="Calibri" w:hAnsi="Calibri"/>
          <w:i/>
          <w:sz w:val="22"/>
          <w:szCs w:val="22"/>
        </w:rPr>
        <w:t>square footage </w:t>
      </w:r>
      <w:r w:rsidRPr="00C82E4B">
        <w:rPr>
          <w:rFonts w:ascii="Calibri" w:hAnsi="Calibri"/>
          <w:sz w:val="22"/>
          <w:szCs w:val="22"/>
        </w:rPr>
        <w:t>of deals closed from midyear 2016 to midyear 2017. The sum of the three scores will determine their final rank. </w:t>
      </w:r>
    </w:p>
    <w:p w14:paraId="5914268A" w14:textId="479898F1" w:rsidR="002F41B7" w:rsidRPr="00C82E4B" w:rsidRDefault="00A12750" w:rsidP="006D60D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 xml:space="preserve">For verification purposes, </w:t>
      </w:r>
      <w:r w:rsidRPr="00C82E4B">
        <w:rPr>
          <w:rFonts w:ascii="Calibri" w:hAnsi="Calibri"/>
          <w:b/>
          <w:sz w:val="22"/>
          <w:szCs w:val="22"/>
        </w:rPr>
        <w:t>all</w:t>
      </w:r>
      <w:r w:rsidRPr="00C82E4B">
        <w:rPr>
          <w:rFonts w:ascii="Calibri" w:hAnsi="Calibri"/>
          <w:sz w:val="22"/>
          <w:szCs w:val="22"/>
        </w:rPr>
        <w:t xml:space="preserve"> nominations must also include a list of all transactions contributing to the 12-month figures. </w:t>
      </w:r>
      <w:r w:rsidR="00C82E4B" w:rsidRPr="00C82E4B">
        <w:rPr>
          <w:rFonts w:ascii="Calibri" w:hAnsi="Calibri"/>
          <w:sz w:val="22"/>
          <w:szCs w:val="22"/>
        </w:rPr>
        <w:t xml:space="preserve">  </w:t>
      </w:r>
    </w:p>
    <w:p w14:paraId="75176541" w14:textId="77777777" w:rsidR="002F41B7" w:rsidRPr="00C82E4B" w:rsidRDefault="00A12750" w:rsidP="006D60DE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 xml:space="preserve">The information provided in the list is for verification purposes only and will remain </w:t>
      </w:r>
      <w:r w:rsidRPr="00C82E4B">
        <w:rPr>
          <w:rFonts w:ascii="Calibri" w:hAnsi="Calibri"/>
          <w:i/>
          <w:sz w:val="22"/>
          <w:szCs w:val="22"/>
        </w:rPr>
        <w:t>fully confidential</w:t>
      </w:r>
      <w:r w:rsidRPr="00C82E4B">
        <w:rPr>
          <w:rFonts w:ascii="Calibri" w:hAnsi="Calibri"/>
          <w:sz w:val="22"/>
          <w:szCs w:val="22"/>
        </w:rPr>
        <w:t xml:space="preserve">. </w:t>
      </w:r>
      <w:r w:rsidR="004E13BE" w:rsidRPr="00C82E4B">
        <w:rPr>
          <w:rFonts w:ascii="Calibri" w:hAnsi="Calibri"/>
          <w:sz w:val="22"/>
          <w:szCs w:val="22"/>
        </w:rPr>
        <w:t xml:space="preserve">The only numbers we will publish are the fields requested in the form: total number, volume and square footage of transactions. </w:t>
      </w:r>
    </w:p>
    <w:p w14:paraId="1D9468C0" w14:textId="77777777" w:rsidR="004E13BE" w:rsidRPr="00C82E4B" w:rsidRDefault="004E13BE" w:rsidP="006D60DE">
      <w:pPr>
        <w:pStyle w:val="ListParagraph"/>
        <w:numPr>
          <w:ilvl w:val="1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b/>
          <w:sz w:val="22"/>
          <w:szCs w:val="22"/>
        </w:rPr>
        <w:t>Partial lists</w:t>
      </w:r>
      <w:r w:rsidRPr="00C82E4B">
        <w:rPr>
          <w:rFonts w:ascii="Calibri" w:hAnsi="Calibri"/>
          <w:sz w:val="22"/>
          <w:szCs w:val="22"/>
        </w:rPr>
        <w:t>—such as blacked-out borrower/lender information—are acceptable, as long as the number, square footage, value and timing of transactions is evident. Inability to provide this will result in disqualification. </w:t>
      </w:r>
    </w:p>
    <w:p w14:paraId="61834439" w14:textId="77777777" w:rsidR="00C53855" w:rsidRPr="00C82E4B" w:rsidRDefault="00A12750" w:rsidP="006D60D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82E4B">
        <w:rPr>
          <w:rFonts w:ascii="Calibri" w:hAnsi="Calibri"/>
          <w:sz w:val="22"/>
          <w:szCs w:val="22"/>
        </w:rPr>
        <w:t>All final entries must be electronically submitted via this form. Late or incomplete entries will not be considered.</w:t>
      </w:r>
    </w:p>
    <w:sectPr w:rsidR="00C53855" w:rsidRPr="00C82E4B" w:rsidSect="001359A9">
      <w:pgSz w:w="12240" w:h="15840"/>
      <w:pgMar w:top="549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A56"/>
    <w:multiLevelType w:val="multilevel"/>
    <w:tmpl w:val="AAE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31A18"/>
    <w:multiLevelType w:val="multilevel"/>
    <w:tmpl w:val="9D4E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E15E0"/>
    <w:multiLevelType w:val="hybridMultilevel"/>
    <w:tmpl w:val="E182CA86"/>
    <w:lvl w:ilvl="0" w:tplc="B4C8EC5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4337"/>
    <w:multiLevelType w:val="hybridMultilevel"/>
    <w:tmpl w:val="D334EF0C"/>
    <w:lvl w:ilvl="0" w:tplc="CB5C38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0"/>
    <w:rsid w:val="000208B6"/>
    <w:rsid w:val="00113787"/>
    <w:rsid w:val="0012246C"/>
    <w:rsid w:val="00131C86"/>
    <w:rsid w:val="001359A9"/>
    <w:rsid w:val="001B532A"/>
    <w:rsid w:val="001C44F0"/>
    <w:rsid w:val="0026607D"/>
    <w:rsid w:val="002F41B7"/>
    <w:rsid w:val="00346937"/>
    <w:rsid w:val="003F0B7F"/>
    <w:rsid w:val="003F5006"/>
    <w:rsid w:val="0045102F"/>
    <w:rsid w:val="00480F38"/>
    <w:rsid w:val="004E13BE"/>
    <w:rsid w:val="005A2E23"/>
    <w:rsid w:val="006120D1"/>
    <w:rsid w:val="006C2271"/>
    <w:rsid w:val="006D2672"/>
    <w:rsid w:val="006D60DE"/>
    <w:rsid w:val="0072110C"/>
    <w:rsid w:val="00760FC2"/>
    <w:rsid w:val="008227AE"/>
    <w:rsid w:val="009837E0"/>
    <w:rsid w:val="00A12750"/>
    <w:rsid w:val="00A1501F"/>
    <w:rsid w:val="00B47B27"/>
    <w:rsid w:val="00BF41E3"/>
    <w:rsid w:val="00C22D7B"/>
    <w:rsid w:val="00C53855"/>
    <w:rsid w:val="00C61DEE"/>
    <w:rsid w:val="00C82E4B"/>
    <w:rsid w:val="00C941D3"/>
    <w:rsid w:val="00CC6F71"/>
    <w:rsid w:val="00CD300C"/>
    <w:rsid w:val="00D6286B"/>
    <w:rsid w:val="00D679BD"/>
    <w:rsid w:val="00DA5967"/>
    <w:rsid w:val="00DB46B9"/>
    <w:rsid w:val="00DC65CF"/>
    <w:rsid w:val="00E33C8E"/>
    <w:rsid w:val="00E61F5E"/>
    <w:rsid w:val="00E953CB"/>
    <w:rsid w:val="00EA3B45"/>
    <w:rsid w:val="00EB1DE3"/>
    <w:rsid w:val="00EE1FA4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07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7E0"/>
    <w:rPr>
      <w:b/>
      <w:bCs/>
    </w:rPr>
  </w:style>
  <w:style w:type="character" w:styleId="Emphasis">
    <w:name w:val="Emphasis"/>
    <w:basedOn w:val="DefaultParagraphFont"/>
    <w:uiPriority w:val="20"/>
    <w:qFormat/>
    <w:rsid w:val="009837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37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83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8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0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5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1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80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2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7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31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1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 Inc.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Aygoren</dc:creator>
  <cp:keywords/>
  <dc:description/>
  <cp:lastModifiedBy>Sule Aygoren</cp:lastModifiedBy>
  <cp:revision>2</cp:revision>
  <dcterms:created xsi:type="dcterms:W3CDTF">2017-09-29T21:11:00Z</dcterms:created>
  <dcterms:modified xsi:type="dcterms:W3CDTF">2017-09-29T21:11:00Z</dcterms:modified>
</cp:coreProperties>
</file>