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73" w:rsidRPr="00D548FB" w:rsidRDefault="00067273" w:rsidP="00F759E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>Abstract Submitted for the 4</w:t>
      </w:r>
      <w:r w:rsidRPr="00D548F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="00101EBA" w:rsidRPr="00D548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 xml:space="preserve">Rural Health and Research Congress </w:t>
      </w:r>
    </w:p>
    <w:p w:rsidR="00067273" w:rsidRPr="00D548FB" w:rsidRDefault="00067273" w:rsidP="00F759E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>Armidale 4-6</w:t>
      </w:r>
      <w:r w:rsidRPr="00D548FB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 xml:space="preserve"> November 2015</w:t>
      </w:r>
    </w:p>
    <w:p w:rsidR="00067273" w:rsidRPr="00D548FB" w:rsidRDefault="00067273" w:rsidP="00F759ED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 xml:space="preserve">Congress stream: </w:t>
      </w:r>
      <w:r w:rsidR="00101EBA" w:rsidRPr="00D548FB">
        <w:rPr>
          <w:rFonts w:ascii="Arial" w:hAnsi="Arial" w:cs="Arial"/>
          <w:bCs/>
          <w:color w:val="000000"/>
          <w:sz w:val="22"/>
          <w:szCs w:val="22"/>
        </w:rPr>
        <w:t>Partnerships and integrated care - connecting rural people and services</w:t>
      </w:r>
    </w:p>
    <w:p w:rsidR="00101EBA" w:rsidRPr="00D548FB" w:rsidRDefault="00101EBA" w:rsidP="00F759E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>Alternate Stream</w:t>
      </w:r>
      <w:r w:rsidRPr="00D548FB">
        <w:rPr>
          <w:rFonts w:ascii="Arial" w:hAnsi="Arial" w:cs="Arial"/>
          <w:bCs/>
          <w:color w:val="000000"/>
          <w:sz w:val="22"/>
          <w:szCs w:val="22"/>
        </w:rPr>
        <w:t>: Mental health/drug and alcohol-a focus on recovery</w:t>
      </w:r>
    </w:p>
    <w:p w:rsidR="00101EBA" w:rsidRPr="00D548FB" w:rsidRDefault="00101EBA" w:rsidP="00F759E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759ED" w:rsidRPr="00D548FB" w:rsidRDefault="00F759ED" w:rsidP="00F759ED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 xml:space="preserve">Abstract Title: </w:t>
      </w:r>
      <w:r w:rsidRPr="00D548FB">
        <w:rPr>
          <w:rFonts w:ascii="Arial" w:hAnsi="Arial" w:cs="Arial"/>
          <w:bCs/>
          <w:color w:val="000000"/>
          <w:sz w:val="22"/>
          <w:szCs w:val="22"/>
        </w:rPr>
        <w:t xml:space="preserve">Healthy Minds and Bodies: Headspace and Dietetics connecting to enhance the health and wellbeing of Young People with Disordered Eating in Rural NSW. </w:t>
      </w:r>
    </w:p>
    <w:p w:rsidR="00101EBA" w:rsidRPr="00D548FB" w:rsidRDefault="00101EBA" w:rsidP="00F759E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548FB" w:rsidRPr="00D548FB" w:rsidRDefault="00101EBA" w:rsidP="00F759ED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>Authors:</w:t>
      </w:r>
      <w:r w:rsidR="00D548FB" w:rsidRPr="00D548F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01EBA" w:rsidRPr="00D548FB" w:rsidRDefault="00D548FB" w:rsidP="00F759ED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 xml:space="preserve">Deanne Harris </w:t>
      </w:r>
      <w:r w:rsidRPr="00D548FB">
        <w:rPr>
          <w:rFonts w:ascii="Arial" w:hAnsi="Arial" w:cs="Arial"/>
          <w:bCs/>
          <w:color w:val="000000"/>
          <w:sz w:val="22"/>
          <w:szCs w:val="22"/>
        </w:rPr>
        <w:t>Dietitian Hunter New England Health, Tamworth NSW 2340 Australia</w:t>
      </w:r>
    </w:p>
    <w:p w:rsidR="00D548FB" w:rsidRPr="00D548FB" w:rsidRDefault="00D548FB" w:rsidP="00F759ED">
      <w:pPr>
        <w:pStyle w:val="NormalWeb"/>
        <w:spacing w:before="0" w:beforeAutospacing="0" w:after="16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D548FB">
        <w:rPr>
          <w:rFonts w:ascii="Arial" w:hAnsi="Arial" w:cs="Arial"/>
          <w:b/>
          <w:bCs/>
          <w:color w:val="000000"/>
          <w:sz w:val="22"/>
          <w:szCs w:val="22"/>
        </w:rPr>
        <w:t>Lisa Staples</w:t>
      </w:r>
      <w:r>
        <w:rPr>
          <w:rFonts w:ascii="Arial" w:hAnsi="Arial" w:cs="Arial"/>
          <w:bCs/>
          <w:color w:val="000000"/>
          <w:sz w:val="22"/>
          <w:szCs w:val="22"/>
        </w:rPr>
        <w:t>: Clinical Care C</w:t>
      </w:r>
      <w:r w:rsidRPr="00D548FB">
        <w:rPr>
          <w:rFonts w:ascii="Arial" w:hAnsi="Arial" w:cs="Arial"/>
          <w:bCs/>
          <w:color w:val="000000"/>
          <w:sz w:val="22"/>
          <w:szCs w:val="22"/>
        </w:rPr>
        <w:t xml:space="preserve">oordinator Headspace Tamworth NSW 2340 Australia </w:t>
      </w:r>
    </w:p>
    <w:p w:rsidR="00D548FB" w:rsidRPr="00D548FB" w:rsidRDefault="00D548FB" w:rsidP="00F759ED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D548FB">
        <w:rPr>
          <w:rFonts w:ascii="Arial" w:hAnsi="Arial" w:cs="Arial"/>
          <w:bCs/>
          <w:color w:val="000000"/>
          <w:sz w:val="22"/>
          <w:szCs w:val="22"/>
        </w:rPr>
        <w:t>Kathryn Penman Dietitian Hunter New England Health Tamworth NSW 2340 Australia</w:t>
      </w:r>
    </w:p>
    <w:p w:rsidR="00D548FB" w:rsidRPr="00D548FB" w:rsidRDefault="00D548FB" w:rsidP="00F759ED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:rsidR="00F759ED" w:rsidRPr="00D548FB" w:rsidRDefault="00F759ED" w:rsidP="00F759ED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D548FB">
        <w:rPr>
          <w:rFonts w:ascii="Arial" w:hAnsi="Arial" w:cs="Arial"/>
          <w:color w:val="000000"/>
          <w:sz w:val="22"/>
          <w:szCs w:val="22"/>
        </w:rPr>
        <w:t>Background: Early identification and intervention reduces the impact of eating disorders on young people. Headspace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provide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 xml:space="preserve">s youth 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supportive </w:t>
      </w:r>
      <w:r w:rsidRPr="00D548FB">
        <w:rPr>
          <w:rFonts w:ascii="Arial" w:hAnsi="Arial" w:cs="Arial"/>
          <w:color w:val="000000"/>
          <w:sz w:val="22"/>
          <w:szCs w:val="22"/>
        </w:rPr>
        <w:t>early intervention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48FB">
        <w:rPr>
          <w:rFonts w:ascii="Arial" w:hAnsi="Arial" w:cs="Arial"/>
          <w:color w:val="000000"/>
          <w:sz w:val="22"/>
          <w:szCs w:val="22"/>
        </w:rPr>
        <w:t>an optimal setting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>for outpatient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treatment for disordered eating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>. However, treatment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 is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complex and require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>s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 xml:space="preserve"> clinical expertise.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In rural NSW there are few clinicians highly skilled in t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>his work. Empowering rural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workers to identify 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>earlier improves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outcomes. </w:t>
      </w:r>
    </w:p>
    <w:p w:rsidR="00F759ED" w:rsidRPr="00D548FB" w:rsidRDefault="00F759ED" w:rsidP="00F759ED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D548FB">
        <w:rPr>
          <w:rFonts w:ascii="Arial" w:hAnsi="Arial" w:cs="Arial"/>
          <w:color w:val="000000"/>
          <w:sz w:val="22"/>
          <w:szCs w:val="22"/>
        </w:rPr>
        <w:t>Approach: A project identified the need to enhance headspace staff awareness of disord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>ered eating, improve management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and stream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>line referral processes to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dietitians</w:t>
      </w:r>
      <w:r w:rsidR="006F526F">
        <w:rPr>
          <w:rFonts w:ascii="Arial" w:hAnsi="Arial" w:cs="Arial"/>
          <w:color w:val="000000"/>
          <w:sz w:val="22"/>
          <w:szCs w:val="22"/>
        </w:rPr>
        <w:t>. Dietitian conducted food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and body image education 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led to staff attending further </w:t>
      </w:r>
      <w:r w:rsidRPr="00D548FB">
        <w:rPr>
          <w:rFonts w:ascii="Arial" w:hAnsi="Arial" w:cs="Arial"/>
          <w:color w:val="000000"/>
          <w:sz w:val="22"/>
          <w:szCs w:val="22"/>
        </w:rPr>
        <w:t>training in identifying young people wi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>th disordered eating. Headspace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 identified 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an in-house </w:t>
      </w:r>
      <w:r w:rsidR="006F526F">
        <w:rPr>
          <w:rFonts w:ascii="Arial" w:hAnsi="Arial" w:cs="Arial"/>
          <w:color w:val="000000"/>
          <w:sz w:val="22"/>
          <w:szCs w:val="22"/>
        </w:rPr>
        <w:t xml:space="preserve">disordered eating </w:t>
      </w:r>
      <w:r w:rsidRPr="00D548FB">
        <w:rPr>
          <w:rFonts w:ascii="Arial" w:hAnsi="Arial" w:cs="Arial"/>
          <w:color w:val="000000"/>
          <w:sz w:val="22"/>
          <w:szCs w:val="22"/>
        </w:rPr>
        <w:t>dietetic s</w:t>
      </w:r>
      <w:r w:rsidR="006F526F">
        <w:rPr>
          <w:rFonts w:ascii="Arial" w:hAnsi="Arial" w:cs="Arial"/>
          <w:color w:val="000000"/>
          <w:sz w:val="22"/>
          <w:szCs w:val="22"/>
        </w:rPr>
        <w:t xml:space="preserve">ervice 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a priority. </w:t>
      </w:r>
    </w:p>
    <w:p w:rsidR="00F759ED" w:rsidRPr="00D548FB" w:rsidRDefault="00F759ED" w:rsidP="00F759ED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 w:rsidRPr="00D548FB">
        <w:rPr>
          <w:rFonts w:ascii="Arial" w:hAnsi="Arial" w:cs="Arial"/>
          <w:color w:val="000000"/>
          <w:sz w:val="22"/>
          <w:szCs w:val="22"/>
        </w:rPr>
        <w:t>Outcomes: Collaboration between he</w:t>
      </w:r>
      <w:r w:rsidR="006F526F">
        <w:rPr>
          <w:rFonts w:ascii="Arial" w:hAnsi="Arial" w:cs="Arial"/>
          <w:color w:val="000000"/>
          <w:sz w:val="22"/>
          <w:szCs w:val="22"/>
        </w:rPr>
        <w:t>alth dietitians and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headspace has enabled ear</w:t>
      </w:r>
      <w:r w:rsidR="006F526F">
        <w:rPr>
          <w:rFonts w:ascii="Arial" w:hAnsi="Arial" w:cs="Arial"/>
          <w:color w:val="000000"/>
          <w:sz w:val="22"/>
          <w:szCs w:val="22"/>
        </w:rPr>
        <w:t xml:space="preserve">lier detection and treatment for </w:t>
      </w:r>
      <w:r w:rsidRPr="00D548FB">
        <w:rPr>
          <w:rFonts w:ascii="Arial" w:hAnsi="Arial" w:cs="Arial"/>
          <w:color w:val="000000"/>
          <w:sz w:val="22"/>
          <w:szCs w:val="22"/>
        </w:rPr>
        <w:t>young people with disordered eating in Tamworth NSW.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 Headspace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inta</w:t>
      </w:r>
      <w:r w:rsidR="006F526F">
        <w:rPr>
          <w:rFonts w:ascii="Arial" w:hAnsi="Arial" w:cs="Arial"/>
          <w:color w:val="000000"/>
          <w:sz w:val="22"/>
          <w:szCs w:val="22"/>
        </w:rPr>
        <w:t xml:space="preserve">ke forms were adapted with </w:t>
      </w:r>
      <w:r w:rsidRPr="00D548FB">
        <w:rPr>
          <w:rFonts w:ascii="Arial" w:hAnsi="Arial" w:cs="Arial"/>
          <w:color w:val="000000"/>
          <w:sz w:val="22"/>
          <w:szCs w:val="22"/>
        </w:rPr>
        <w:t>detailed questions about food and body image. Referral processes to dietitians were improved and referral numbers increased markedly. This led to a health provided headspace based disordered eating dietetics clinic one day per we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ek with a 97% attendance rate. 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>Dietitian led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 clinical case 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review, staff </w:t>
      </w:r>
      <w:proofErr w:type="spellStart"/>
      <w:r w:rsidR="004E6FAA" w:rsidRPr="00D548FB">
        <w:rPr>
          <w:rFonts w:ascii="Arial" w:hAnsi="Arial" w:cs="Arial"/>
          <w:color w:val="000000"/>
          <w:sz w:val="22"/>
          <w:szCs w:val="22"/>
        </w:rPr>
        <w:t>inservices</w:t>
      </w:r>
      <w:proofErr w:type="spellEnd"/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 and cooking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 xml:space="preserve"> classes have expanded the service since </w:t>
      </w:r>
      <w:r w:rsidRPr="00D548FB">
        <w:rPr>
          <w:rFonts w:ascii="Arial" w:hAnsi="Arial" w:cs="Arial"/>
          <w:color w:val="000000"/>
          <w:sz w:val="22"/>
          <w:szCs w:val="22"/>
        </w:rPr>
        <w:t xml:space="preserve">inception. </w:t>
      </w:r>
    </w:p>
    <w:p w:rsidR="004E6FAA" w:rsidRPr="00D548FB" w:rsidRDefault="00F759ED" w:rsidP="00F759ED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D548FB">
        <w:rPr>
          <w:rFonts w:ascii="Arial" w:hAnsi="Arial" w:cs="Arial"/>
          <w:color w:val="000000"/>
          <w:sz w:val="22"/>
          <w:szCs w:val="22"/>
        </w:rPr>
        <w:t>Take home mess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>age: Conn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 xml:space="preserve">ecting health and headspace allows better 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>access for young people to specialised services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>. Connecting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 sp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>ecialist services with young person</w:t>
      </w:r>
      <w:r w:rsidR="004E6FAA" w:rsidRPr="00D548FB">
        <w:rPr>
          <w:rFonts w:ascii="Arial" w:hAnsi="Arial" w:cs="Arial"/>
          <w:color w:val="000000"/>
          <w:sz w:val="22"/>
          <w:szCs w:val="22"/>
        </w:rPr>
        <w:t xml:space="preserve"> friendly environments improve</w:t>
      </w:r>
      <w:r w:rsidR="006F526F">
        <w:rPr>
          <w:rFonts w:ascii="Arial" w:hAnsi="Arial" w:cs="Arial"/>
          <w:color w:val="000000"/>
          <w:sz w:val="22"/>
          <w:szCs w:val="22"/>
        </w:rPr>
        <w:t>s outcomes</w:t>
      </w:r>
      <w:r w:rsidR="00067273" w:rsidRPr="00D548FB">
        <w:rPr>
          <w:rFonts w:ascii="Arial" w:hAnsi="Arial" w:cs="Arial"/>
          <w:color w:val="000000"/>
          <w:sz w:val="22"/>
          <w:szCs w:val="22"/>
        </w:rPr>
        <w:t>.</w:t>
      </w:r>
    </w:p>
    <w:p w:rsidR="004B369F" w:rsidRDefault="004B369F">
      <w:bookmarkStart w:id="0" w:name="_GoBack"/>
      <w:bookmarkEnd w:id="0"/>
    </w:p>
    <w:sectPr w:rsidR="004B3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ED"/>
    <w:rsid w:val="00013213"/>
    <w:rsid w:val="00067273"/>
    <w:rsid w:val="00101EBA"/>
    <w:rsid w:val="004B369F"/>
    <w:rsid w:val="004E6FAA"/>
    <w:rsid w:val="006F526F"/>
    <w:rsid w:val="00D548FB"/>
    <w:rsid w:val="00F7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8185D-25CC-4835-933F-5A1DD62E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13"/>
    <w:rPr>
      <w:rFonts w:ascii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Harris</dc:creator>
  <cp:keywords/>
  <dc:description/>
  <cp:lastModifiedBy>Deanne Harris</cp:lastModifiedBy>
  <cp:revision>2</cp:revision>
  <dcterms:created xsi:type="dcterms:W3CDTF">2015-07-24T07:12:00Z</dcterms:created>
  <dcterms:modified xsi:type="dcterms:W3CDTF">2015-07-24T07:57:00Z</dcterms:modified>
</cp:coreProperties>
</file>