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6" w:rsidRDefault="00321A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-570865</wp:posOffset>
                </wp:positionV>
                <wp:extent cx="6724650" cy="98202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F4" w:rsidRPr="00927FCB" w:rsidRDefault="00321AF4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submitted for the 5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NSW 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>Rural Health and Research Congress</w:t>
                            </w:r>
                          </w:p>
                          <w:p w:rsidR="00321AF4" w:rsidRDefault="00321AF4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Twin Towns, Tweed Heads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9 - 11 November 2016</w:t>
                            </w:r>
                          </w:p>
                          <w:p w:rsidR="00321AF4" w:rsidRDefault="00321AF4" w:rsidP="00927F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Congress Stream:</w:t>
                            </w:r>
                            <w:r w:rsidRPr="00927F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4. 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>Palliative/end of life care: meeting the need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Oral or Poster</w:t>
                            </w:r>
                          </w:p>
                          <w:p w:rsidR="00321AF4" w:rsidRDefault="00321AF4" w:rsidP="00AC4CC5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AF4" w:rsidRPr="00AC4CC5" w:rsidRDefault="00321AF4" w:rsidP="00AC4CC5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Title: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The Supportive and Palliative Care Indicators Tool (SPICT):  can it be used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trigger transition to a palliative approach and improve care for patients with a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>non-malignant life-limiting disease in a remote care setting?</w:t>
                            </w:r>
                          </w:p>
                          <w:p w:rsidR="00321AF4" w:rsidRDefault="00321AF4" w:rsidP="00D60E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56711B">
                              <w:rPr>
                                <w:rFonts w:ascii="Arial" w:hAnsi="Arial" w:cs="Arial"/>
                                <w:b/>
                              </w:rPr>
                              <w:t>Author/s: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>Jeffrey Duncan, Medical 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udent, University of Wollongong, </w:t>
                            </w:r>
                          </w:p>
                          <w:p w:rsidR="00321AF4" w:rsidRDefault="00321AF4" w:rsidP="00D60E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  <w:r w:rsidRPr="00AC4CC5">
                              <w:rPr>
                                <w:rFonts w:ascii="Arial" w:hAnsi="Arial" w:cs="Arial"/>
                              </w:rPr>
                              <w:t>Exten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ded Clinical Placement Program, 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Broken Hill University Department of Rural Health, </w:t>
                            </w:r>
                            <w:proofErr w:type="spellStart"/>
                            <w:r w:rsidRPr="00AC4CC5">
                              <w:rPr>
                                <w:rFonts w:ascii="Arial" w:hAnsi="Arial" w:cs="Arial"/>
                              </w:rPr>
                              <w:t>Corrindah</w:t>
                            </w:r>
                            <w:proofErr w:type="spellEnd"/>
                            <w:r w:rsidRPr="00AC4CC5">
                              <w:rPr>
                                <w:rFonts w:ascii="Arial" w:hAnsi="Arial" w:cs="Arial"/>
                              </w:rPr>
                              <w:t xml:space="preserve"> Court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PO Box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 457, Broken Hill, NSW 2880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</w:t>
                            </w:r>
                          </w:p>
                          <w:p w:rsidR="00321AF4" w:rsidRPr="00AC4CC5" w:rsidRDefault="00321AF4" w:rsidP="00AC4CC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Default="00321AF4" w:rsidP="00D60E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AC4CC5">
                              <w:rPr>
                                <w:rFonts w:ascii="Arial" w:hAnsi="Arial" w:cs="Arial"/>
                                <w:b/>
                              </w:rPr>
                              <w:t>Sarah Wenham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>, Specialist Palliative Care Physician</w:t>
                            </w:r>
                          </w:p>
                          <w:p w:rsidR="00321AF4" w:rsidRDefault="00321AF4" w:rsidP="00D60E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AC4CC5">
                              <w:rPr>
                                <w:rFonts w:ascii="Arial" w:hAnsi="Arial" w:cs="Arial"/>
                              </w:rPr>
                              <w:t>Far West Local Health District, PO</w:t>
                            </w:r>
                            <w:r w:rsidR="00865FBE">
                              <w:rPr>
                                <w:rFonts w:ascii="Arial" w:hAnsi="Arial" w:cs="Arial"/>
                              </w:rPr>
                              <w:t xml:space="preserve"> Box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457, Broken Hill NSW 2880</w:t>
                            </w:r>
                          </w:p>
                          <w:p w:rsidR="00321AF4" w:rsidRPr="00AC4CC5" w:rsidRDefault="00321AF4" w:rsidP="00AC4CC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AC4CC5" w:rsidRDefault="00321AF4" w:rsidP="00D60E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Emily </w:t>
                            </w:r>
                            <w:proofErr w:type="spellStart"/>
                            <w:r w:rsidRPr="00AC4CC5">
                              <w:rPr>
                                <w:rFonts w:ascii="Arial" w:hAnsi="Arial" w:cs="Arial"/>
                              </w:rPr>
                              <w:t>Saurman</w:t>
                            </w:r>
                            <w:proofErr w:type="spellEnd"/>
                            <w:r w:rsidRPr="00AC4CC5">
                              <w:rPr>
                                <w:rFonts w:ascii="Arial" w:hAnsi="Arial" w:cs="Arial"/>
                              </w:rPr>
                              <w:t>, Research Fellow-Rural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AC4CC5">
                              <w:rPr>
                                <w:rFonts w:ascii="Arial" w:hAnsi="Arial" w:cs="Arial"/>
                              </w:rPr>
                              <w:t xml:space="preserve">Broken Hill University Department of Rural Health, </w:t>
                            </w:r>
                            <w:proofErr w:type="spellStart"/>
                            <w:r w:rsidRPr="00AC4CC5">
                              <w:rPr>
                                <w:rFonts w:ascii="Arial" w:hAnsi="Arial" w:cs="Arial"/>
                              </w:rPr>
                              <w:t>Corrindah</w:t>
                            </w:r>
                            <w:proofErr w:type="spellEnd"/>
                            <w:r w:rsidRPr="00AC4CC5">
                              <w:rPr>
                                <w:rFonts w:ascii="Arial" w:hAnsi="Arial" w:cs="Arial"/>
                              </w:rPr>
                              <w:t xml:space="preserve"> Court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PO Box 457, Broken Hill, NSW 2880</w:t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>Background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Australian Commission on Safety and Quality in Healthcare (2015) recommends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identification of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patients likely to die within the next 12 months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‘a fundamental first step in prov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iding safe and high-quality end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-of-life care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="00022B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Supportive and Palliative Care Indicators Tool (SPICT)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validated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tool,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demonstrated to assist identif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ication of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patients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unmet palliative care needs.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>Approach</w:t>
                            </w: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etrospective cross-sectional case note audit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all adult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deaths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remo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 LHD over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12 month period, t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o assess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sensitivity of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SPICT to trigger: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early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transition to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palliative approach in patients with non-malignant life-limiting disease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1AF4">
                              <w:rPr>
                                <w:rFonts w:ascii="Arial" w:hAnsi="Arial" w:cs="Arial"/>
                              </w:rPr>
                              <w:t>impact</w:t>
                            </w:r>
                            <w:proofErr w:type="gramEnd"/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on clinical outcomes.</w:t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>Outcomes / Results</w:t>
                            </w: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1AF4">
                              <w:rPr>
                                <w:rFonts w:ascii="Arial" w:hAnsi="Arial" w:cs="Arial"/>
                              </w:rPr>
                              <w:t>112 eligible patients; 40% total deaths.</w:t>
                            </w:r>
                            <w:proofErr w:type="gramEnd"/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60% SPICT positive; 40% receiv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ed palliative approach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1AF4">
                              <w:rPr>
                                <w:rFonts w:ascii="Arial" w:hAnsi="Arial" w:cs="Arial"/>
                              </w:rPr>
                              <w:t>55% male; mean age at death 81.2 years.</w:t>
                            </w:r>
                            <w:proofErr w:type="gramEnd"/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>Identification and transition to a palliative approach demonstrated statistically significant improvements including: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>Reduced ICU admissions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>Increased documentation of advance care planning and resuscitation status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Increased comfort </w:t>
                            </w:r>
                            <w:r w:rsidR="00E563B1">
                              <w:rPr>
                                <w:rFonts w:ascii="Arial" w:hAnsi="Arial" w:cs="Arial"/>
                              </w:rPr>
                              <w:t xml:space="preserve">care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and effective symptom management in last days of life</w:t>
                            </w: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>End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-of-life care in line with patient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s wishes, including place of death</w:t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>Take Home Message</w:t>
                            </w:r>
                            <w:r w:rsidRPr="00321A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F4" w:rsidRPr="00321AF4" w:rsidRDefault="00321AF4" w:rsidP="00321AF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21AF4">
                              <w:rPr>
                                <w:rFonts w:ascii="Arial" w:hAnsi="Arial" w:cs="Arial"/>
                              </w:rPr>
                              <w:t xml:space="preserve">SPICT can be used to effectively identify patients with non-malignant life-limiting disease in a remote care setting,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which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facilitat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 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transition to a palliative approach with demonstrated im</w:t>
                            </w:r>
                            <w:r w:rsidRPr="00321AF4">
                              <w:rPr>
                                <w:rFonts w:ascii="Arial" w:hAnsi="Arial" w:cs="Arial"/>
                              </w:rPr>
                              <w:t>provements in quality of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-44.95pt;width:529.5pt;height:77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">
                <v:textbox>
                  <w:txbxContent>
                    <w:p w:rsidR="00321AF4" w:rsidRPr="00927FCB" w:rsidRDefault="00321AF4" w:rsidP="00927F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Abstract submitted for the 5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NSW 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>Rural Health and Research Congress</w:t>
                      </w:r>
                    </w:p>
                    <w:p w:rsidR="00321AF4" w:rsidRDefault="00321AF4" w:rsidP="00927F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Twin Towns, Tweed Heads</w:t>
                      </w:r>
                      <w:r w:rsidRPr="00927F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9 - 11 November 2016</w:t>
                      </w:r>
                    </w:p>
                    <w:p w:rsidR="00321AF4" w:rsidRDefault="00321AF4" w:rsidP="00927F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Congress Stream:</w:t>
                      </w:r>
                      <w:r w:rsidRPr="00927F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4. </w:t>
                      </w:r>
                      <w:r w:rsidRPr="00AC4CC5">
                        <w:rPr>
                          <w:rFonts w:ascii="Arial" w:hAnsi="Arial" w:cs="Arial"/>
                        </w:rPr>
                        <w:t>Palliative/end of life care: meeting the need</w:t>
                      </w:r>
                      <w:r>
                        <w:rPr>
                          <w:rFonts w:ascii="Arial" w:hAnsi="Arial" w:cs="Arial"/>
                        </w:rPr>
                        <w:t xml:space="preserve"> – Oral or Poster</w:t>
                      </w:r>
                    </w:p>
                    <w:p w:rsidR="00321AF4" w:rsidRDefault="00321AF4" w:rsidP="00AC4CC5">
                      <w:pPr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AF4" w:rsidRPr="00AC4CC5" w:rsidRDefault="00321AF4" w:rsidP="00AC4CC5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Abstract Title: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C4CC5">
                        <w:rPr>
                          <w:rFonts w:ascii="Arial" w:hAnsi="Arial" w:cs="Arial"/>
                        </w:rPr>
                        <w:t xml:space="preserve">The Supportive and Palliative Care Indicators Tool (SPICT):  can it be used 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C4CC5">
                        <w:rPr>
                          <w:rFonts w:ascii="Arial" w:hAnsi="Arial" w:cs="Arial"/>
                        </w:rPr>
                        <w:t xml:space="preserve">trigger transition to a palliative approach and improve care for patients with a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C4CC5">
                        <w:rPr>
                          <w:rFonts w:ascii="Arial" w:hAnsi="Arial" w:cs="Arial"/>
                        </w:rPr>
                        <w:t>non-malignant life-limiting disease in a remote care setting?</w:t>
                      </w:r>
                    </w:p>
                    <w:p w:rsidR="00321AF4" w:rsidRDefault="00321AF4" w:rsidP="00D60E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56711B">
                        <w:rPr>
                          <w:rFonts w:ascii="Arial" w:hAnsi="Arial" w:cs="Arial"/>
                          <w:b/>
                        </w:rPr>
                        <w:t>Author/s: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C4CC5">
                        <w:rPr>
                          <w:rFonts w:ascii="Arial" w:hAnsi="Arial" w:cs="Arial"/>
                        </w:rPr>
                        <w:t>Jeffrey Duncan, Medical St</w:t>
                      </w:r>
                      <w:r>
                        <w:rPr>
                          <w:rFonts w:ascii="Arial" w:hAnsi="Arial" w:cs="Arial"/>
                        </w:rPr>
                        <w:t xml:space="preserve">udent, University of Wollongong, </w:t>
                      </w:r>
                    </w:p>
                    <w:p w:rsidR="00321AF4" w:rsidRDefault="00321AF4" w:rsidP="00D60E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Arial" w:hAnsi="Arial" w:cs="Arial"/>
                        </w:rPr>
                      </w:pPr>
                      <w:r w:rsidRPr="00AC4CC5">
                        <w:rPr>
                          <w:rFonts w:ascii="Arial" w:hAnsi="Arial" w:cs="Arial"/>
                        </w:rPr>
                        <w:t>Exten</w:t>
                      </w:r>
                      <w:r>
                        <w:rPr>
                          <w:rFonts w:ascii="Arial" w:hAnsi="Arial" w:cs="Arial"/>
                        </w:rPr>
                        <w:t xml:space="preserve">ded Clinical Placement Program, </w:t>
                      </w:r>
                      <w:r w:rsidRPr="00AC4CC5">
                        <w:rPr>
                          <w:rFonts w:ascii="Arial" w:hAnsi="Arial" w:cs="Arial"/>
                        </w:rPr>
                        <w:t xml:space="preserve">Broken Hill University Department of Rural Health, </w:t>
                      </w:r>
                      <w:proofErr w:type="spellStart"/>
                      <w:r w:rsidRPr="00AC4CC5">
                        <w:rPr>
                          <w:rFonts w:ascii="Arial" w:hAnsi="Arial" w:cs="Arial"/>
                        </w:rPr>
                        <w:t>Corrindah</w:t>
                      </w:r>
                      <w:proofErr w:type="spellEnd"/>
                      <w:r w:rsidRPr="00AC4CC5">
                        <w:rPr>
                          <w:rFonts w:ascii="Arial" w:hAnsi="Arial" w:cs="Arial"/>
                        </w:rPr>
                        <w:t xml:space="preserve"> Court</w:t>
                      </w:r>
                      <w:r>
                        <w:rPr>
                          <w:rFonts w:ascii="Arial" w:hAnsi="Arial" w:cs="Arial"/>
                        </w:rPr>
                        <w:t>, PO Box</w:t>
                      </w:r>
                      <w:r w:rsidRPr="00AC4CC5">
                        <w:rPr>
                          <w:rFonts w:ascii="Arial" w:hAnsi="Arial" w:cs="Arial"/>
                        </w:rPr>
                        <w:t xml:space="preserve"> 457, Broken Hill, NSW 2880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</w:t>
                      </w:r>
                    </w:p>
                    <w:p w:rsidR="00321AF4" w:rsidRPr="00AC4CC5" w:rsidRDefault="00321AF4" w:rsidP="00AC4CC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</w:rPr>
                      </w:pPr>
                    </w:p>
                    <w:p w:rsidR="00321AF4" w:rsidRDefault="00321AF4" w:rsidP="00D60E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AC4CC5">
                        <w:rPr>
                          <w:rFonts w:ascii="Arial" w:hAnsi="Arial" w:cs="Arial"/>
                          <w:b/>
                        </w:rPr>
                        <w:t>Sarah Wenham</w:t>
                      </w:r>
                      <w:r w:rsidRPr="00AC4CC5">
                        <w:rPr>
                          <w:rFonts w:ascii="Arial" w:hAnsi="Arial" w:cs="Arial"/>
                        </w:rPr>
                        <w:t>, Specialist Palliative Care Physician</w:t>
                      </w:r>
                    </w:p>
                    <w:p w:rsidR="00321AF4" w:rsidRDefault="00321AF4" w:rsidP="00D60E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AC4CC5">
                        <w:rPr>
                          <w:rFonts w:ascii="Arial" w:hAnsi="Arial" w:cs="Arial"/>
                        </w:rPr>
                        <w:t>Far West Local Health District, PO</w:t>
                      </w:r>
                      <w:r w:rsidR="00865FBE">
                        <w:rPr>
                          <w:rFonts w:ascii="Arial" w:hAnsi="Arial" w:cs="Arial"/>
                        </w:rPr>
                        <w:t xml:space="preserve"> Box</w:t>
                      </w:r>
                      <w:r>
                        <w:rPr>
                          <w:rFonts w:ascii="Arial" w:hAnsi="Arial" w:cs="Arial"/>
                        </w:rPr>
                        <w:t xml:space="preserve"> 457, Broken Hill NSW 2880</w:t>
                      </w:r>
                    </w:p>
                    <w:p w:rsidR="00321AF4" w:rsidRPr="00AC4CC5" w:rsidRDefault="00321AF4" w:rsidP="00AC4CC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Arial" w:hAnsi="Arial" w:cs="Arial"/>
                        </w:rPr>
                      </w:pPr>
                    </w:p>
                    <w:p w:rsidR="00321AF4" w:rsidRPr="00AC4CC5" w:rsidRDefault="00321AF4" w:rsidP="00D60E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AC4CC5">
                        <w:rPr>
                          <w:rFonts w:ascii="Arial" w:hAnsi="Arial" w:cs="Arial"/>
                        </w:rPr>
                        <w:t xml:space="preserve">Emily </w:t>
                      </w:r>
                      <w:proofErr w:type="spellStart"/>
                      <w:r w:rsidRPr="00AC4CC5">
                        <w:rPr>
                          <w:rFonts w:ascii="Arial" w:hAnsi="Arial" w:cs="Arial"/>
                        </w:rPr>
                        <w:t>Saurman</w:t>
                      </w:r>
                      <w:proofErr w:type="spellEnd"/>
                      <w:r w:rsidRPr="00AC4CC5">
                        <w:rPr>
                          <w:rFonts w:ascii="Arial" w:hAnsi="Arial" w:cs="Arial"/>
                        </w:rPr>
                        <w:t>, Research Fellow-Rural Health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AC4CC5">
                        <w:rPr>
                          <w:rFonts w:ascii="Arial" w:hAnsi="Arial" w:cs="Arial"/>
                        </w:rPr>
                        <w:t xml:space="preserve">Broken Hill University Department of Rural Health, </w:t>
                      </w:r>
                      <w:proofErr w:type="spellStart"/>
                      <w:r w:rsidRPr="00AC4CC5">
                        <w:rPr>
                          <w:rFonts w:ascii="Arial" w:hAnsi="Arial" w:cs="Arial"/>
                        </w:rPr>
                        <w:t>Corrindah</w:t>
                      </w:r>
                      <w:proofErr w:type="spellEnd"/>
                      <w:r w:rsidRPr="00AC4CC5">
                        <w:rPr>
                          <w:rFonts w:ascii="Arial" w:hAnsi="Arial" w:cs="Arial"/>
                        </w:rPr>
                        <w:t xml:space="preserve"> Court</w:t>
                      </w:r>
                      <w:r>
                        <w:rPr>
                          <w:rFonts w:ascii="Arial" w:hAnsi="Arial" w:cs="Arial"/>
                        </w:rPr>
                        <w:t>, PO Box 457, Broken Hill, NSW 2880</w:t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21AF4">
                        <w:rPr>
                          <w:rFonts w:ascii="Arial" w:hAnsi="Arial" w:cs="Arial"/>
                          <w:b/>
                        </w:rPr>
                        <w:t>Background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 xml:space="preserve">Australian Commission on Safety and Quality in Healthcare (2015) recommends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identification of </w:t>
                      </w:r>
                      <w:r w:rsidRPr="00321AF4">
                        <w:rPr>
                          <w:rFonts w:ascii="Arial" w:hAnsi="Arial" w:cs="Arial"/>
                        </w:rPr>
                        <w:t>patients likely to die within the next 12 months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as </w:t>
                      </w:r>
                      <w:r w:rsidRPr="00321AF4">
                        <w:rPr>
                          <w:rFonts w:ascii="Arial" w:hAnsi="Arial" w:cs="Arial"/>
                        </w:rPr>
                        <w:t>‘a fundamental first step in prov</w:t>
                      </w:r>
                      <w:r w:rsidRPr="00321AF4">
                        <w:rPr>
                          <w:rFonts w:ascii="Arial" w:hAnsi="Arial" w:cs="Arial"/>
                        </w:rPr>
                        <w:t>iding safe and high-quality end</w:t>
                      </w:r>
                      <w:r w:rsidRPr="00321AF4">
                        <w:rPr>
                          <w:rFonts w:ascii="Arial" w:hAnsi="Arial" w:cs="Arial"/>
                        </w:rPr>
                        <w:t>-of-life care</w:t>
                      </w:r>
                      <w:r w:rsidRPr="00321AF4">
                        <w:rPr>
                          <w:rFonts w:ascii="Arial" w:hAnsi="Arial" w:cs="Arial"/>
                        </w:rPr>
                        <w:t>’</w:t>
                      </w:r>
                      <w:r w:rsidR="00022B8B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 xml:space="preserve">Supportive and Palliative Care Indicators Tool (SPICT) is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validated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tool, </w:t>
                      </w:r>
                      <w:r w:rsidRPr="00321AF4">
                        <w:rPr>
                          <w:rFonts w:ascii="Arial" w:hAnsi="Arial" w:cs="Arial"/>
                        </w:rPr>
                        <w:t>demonstrated to assist identif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ication of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patients </w:t>
                      </w:r>
                      <w:r w:rsidRPr="00321AF4">
                        <w:rPr>
                          <w:rFonts w:ascii="Arial" w:hAnsi="Arial" w:cs="Arial"/>
                        </w:rPr>
                        <w:t>with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unmet palliative care needs.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21AF4">
                        <w:rPr>
                          <w:rFonts w:ascii="Arial" w:hAnsi="Arial" w:cs="Arial"/>
                          <w:b/>
                        </w:rPr>
                        <w:t>Approach</w:t>
                      </w:r>
                      <w:r w:rsidRPr="00321AF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>R</w:t>
                      </w:r>
                      <w:r w:rsidRPr="00321AF4">
                        <w:rPr>
                          <w:rFonts w:ascii="Arial" w:hAnsi="Arial" w:cs="Arial"/>
                        </w:rPr>
                        <w:t>etrospective cross-sectional case note audit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of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all adult </w:t>
                      </w:r>
                      <w:r w:rsidRPr="00321AF4">
                        <w:rPr>
                          <w:rFonts w:ascii="Arial" w:hAnsi="Arial" w:cs="Arial"/>
                        </w:rPr>
                        <w:t>deaths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Pr="00321AF4">
                        <w:rPr>
                          <w:rFonts w:ascii="Arial" w:hAnsi="Arial" w:cs="Arial"/>
                        </w:rPr>
                        <w:t>remo</w:t>
                      </w:r>
                      <w:r>
                        <w:rPr>
                          <w:rFonts w:ascii="Arial" w:hAnsi="Arial" w:cs="Arial"/>
                        </w:rPr>
                        <w:t xml:space="preserve">te LHD over </w:t>
                      </w:r>
                      <w:r w:rsidRPr="00321AF4">
                        <w:rPr>
                          <w:rFonts w:ascii="Arial" w:hAnsi="Arial" w:cs="Arial"/>
                        </w:rPr>
                        <w:t>12 month period, t</w:t>
                      </w:r>
                      <w:r w:rsidRPr="00321AF4">
                        <w:rPr>
                          <w:rFonts w:ascii="Arial" w:hAnsi="Arial" w:cs="Arial"/>
                        </w:rPr>
                        <w:t>o assess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sensitivity of </w:t>
                      </w:r>
                      <w:r w:rsidRPr="00321AF4">
                        <w:rPr>
                          <w:rFonts w:ascii="Arial" w:hAnsi="Arial" w:cs="Arial"/>
                        </w:rPr>
                        <w:t>SPICT to trigger: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 xml:space="preserve">early </w:t>
                      </w:r>
                      <w:r>
                        <w:rPr>
                          <w:rFonts w:ascii="Arial" w:hAnsi="Arial" w:cs="Arial"/>
                        </w:rPr>
                        <w:t xml:space="preserve">transition to </w:t>
                      </w:r>
                      <w:r w:rsidRPr="00321AF4">
                        <w:rPr>
                          <w:rFonts w:ascii="Arial" w:hAnsi="Arial" w:cs="Arial"/>
                        </w:rPr>
                        <w:t>palliative approach in patients with non-malignant life-limiting disease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1AF4">
                        <w:rPr>
                          <w:rFonts w:ascii="Arial" w:hAnsi="Arial" w:cs="Arial"/>
                        </w:rPr>
                        <w:t>impact</w:t>
                      </w:r>
                      <w:proofErr w:type="gramEnd"/>
                      <w:r w:rsidRPr="00321AF4">
                        <w:rPr>
                          <w:rFonts w:ascii="Arial" w:hAnsi="Arial" w:cs="Arial"/>
                        </w:rPr>
                        <w:t xml:space="preserve"> on clinical outcomes.</w:t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21AF4">
                        <w:rPr>
                          <w:rFonts w:ascii="Arial" w:hAnsi="Arial" w:cs="Arial"/>
                          <w:b/>
                        </w:rPr>
                        <w:t>Outcomes / Results</w:t>
                      </w:r>
                      <w:r w:rsidRPr="00321AF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321AF4">
                        <w:rPr>
                          <w:rFonts w:ascii="Arial" w:hAnsi="Arial" w:cs="Arial"/>
                        </w:rPr>
                        <w:t>112 eligible patients; 40% total deaths.</w:t>
                      </w:r>
                      <w:proofErr w:type="gramEnd"/>
                      <w:r w:rsidRPr="00321AF4">
                        <w:rPr>
                          <w:rFonts w:ascii="Arial" w:hAnsi="Arial" w:cs="Arial"/>
                        </w:rPr>
                        <w:t xml:space="preserve"> 60% SPICT positive; 40% receiv</w:t>
                      </w:r>
                      <w:r w:rsidRPr="00321AF4">
                        <w:rPr>
                          <w:rFonts w:ascii="Arial" w:hAnsi="Arial" w:cs="Arial"/>
                        </w:rPr>
                        <w:t>ed palliative approach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321AF4">
                        <w:rPr>
                          <w:rFonts w:ascii="Arial" w:hAnsi="Arial" w:cs="Arial"/>
                        </w:rPr>
                        <w:t>55% male; mean age at death 81.2 years.</w:t>
                      </w:r>
                      <w:proofErr w:type="gramEnd"/>
                      <w:r w:rsidRPr="00321AF4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>Identification and transition to a palliative approach demonstrated statistically significant improvements including: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>Reduced ICU admissions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>Increased documentation of advance care planning and resuscitation status</w:t>
                      </w:r>
                      <w:r w:rsidRPr="00321AF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 xml:space="preserve">Increased comfort </w:t>
                      </w:r>
                      <w:r w:rsidR="00E563B1">
                        <w:rPr>
                          <w:rFonts w:ascii="Arial" w:hAnsi="Arial" w:cs="Arial"/>
                        </w:rPr>
                        <w:t xml:space="preserve">care </w:t>
                      </w:r>
                      <w:r w:rsidRPr="00321AF4">
                        <w:rPr>
                          <w:rFonts w:ascii="Arial" w:hAnsi="Arial" w:cs="Arial"/>
                        </w:rPr>
                        <w:t>and effective symptom management in last days of life</w:t>
                      </w:r>
                    </w:p>
                    <w:p w:rsidR="00321AF4" w:rsidRPr="00321AF4" w:rsidRDefault="00321AF4" w:rsidP="00321AF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>End</w:t>
                      </w:r>
                      <w:r w:rsidRPr="00321AF4">
                        <w:rPr>
                          <w:rFonts w:ascii="Arial" w:hAnsi="Arial" w:cs="Arial"/>
                        </w:rPr>
                        <w:t>-of-life care in line with patient</w:t>
                      </w:r>
                      <w:r w:rsidRPr="00321AF4">
                        <w:rPr>
                          <w:rFonts w:ascii="Arial" w:hAnsi="Arial" w:cs="Arial"/>
                        </w:rPr>
                        <w:t>’</w:t>
                      </w:r>
                      <w:r w:rsidRPr="00321AF4">
                        <w:rPr>
                          <w:rFonts w:ascii="Arial" w:hAnsi="Arial" w:cs="Arial"/>
                        </w:rPr>
                        <w:t>s wishes, including place of death</w:t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21AF4">
                        <w:rPr>
                          <w:rFonts w:ascii="Arial" w:hAnsi="Arial" w:cs="Arial"/>
                          <w:b/>
                        </w:rPr>
                        <w:t>Take Home Message</w:t>
                      </w:r>
                      <w:r w:rsidRPr="00321AF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21AF4" w:rsidRPr="00321AF4" w:rsidRDefault="00321AF4" w:rsidP="00321AF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21AF4">
                        <w:rPr>
                          <w:rFonts w:ascii="Arial" w:hAnsi="Arial" w:cs="Arial"/>
                        </w:rPr>
                        <w:t xml:space="preserve">SPICT can be used to effectively identify patients with non-malignant life-limiting disease in a remote care setting, </w:t>
                      </w:r>
                      <w:r>
                        <w:rPr>
                          <w:rFonts w:ascii="Arial" w:hAnsi="Arial" w:cs="Arial"/>
                        </w:rPr>
                        <w:t xml:space="preserve">which </w:t>
                      </w:r>
                      <w:r w:rsidRPr="00321AF4">
                        <w:rPr>
                          <w:rFonts w:ascii="Arial" w:hAnsi="Arial" w:cs="Arial"/>
                        </w:rPr>
                        <w:t>facilitat</w:t>
                      </w:r>
                      <w:r>
                        <w:rPr>
                          <w:rFonts w:ascii="Arial" w:hAnsi="Arial" w:cs="Arial"/>
                        </w:rPr>
                        <w:t xml:space="preserve">es </w:t>
                      </w:r>
                      <w:r w:rsidRPr="00321AF4">
                        <w:rPr>
                          <w:rFonts w:ascii="Arial" w:hAnsi="Arial" w:cs="Arial"/>
                        </w:rPr>
                        <w:t>transition to a palliative approach with demonstrated im</w:t>
                      </w:r>
                      <w:r w:rsidRPr="00321AF4">
                        <w:rPr>
                          <w:rFonts w:ascii="Arial" w:hAnsi="Arial" w:cs="Arial"/>
                        </w:rPr>
                        <w:t>provements in quality of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F56" w:rsidSect="00321A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36"/>
    <w:multiLevelType w:val="hybridMultilevel"/>
    <w:tmpl w:val="CCB4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A6F1A"/>
    <w:multiLevelType w:val="hybridMultilevel"/>
    <w:tmpl w:val="FE329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84312D"/>
    <w:multiLevelType w:val="hybridMultilevel"/>
    <w:tmpl w:val="6A50F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556EC2"/>
    <w:multiLevelType w:val="hybridMultilevel"/>
    <w:tmpl w:val="C81EC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4"/>
    <w:rsid w:val="0001327C"/>
    <w:rsid w:val="00022B8B"/>
    <w:rsid w:val="00321AF4"/>
    <w:rsid w:val="005E6893"/>
    <w:rsid w:val="00865FBE"/>
    <w:rsid w:val="00DC0F56"/>
    <w:rsid w:val="00E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F4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321AF4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F4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321AF4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2016-08-02T03:54:00Z</cp:lastPrinted>
  <dcterms:created xsi:type="dcterms:W3CDTF">2016-08-02T03:42:00Z</dcterms:created>
  <dcterms:modified xsi:type="dcterms:W3CDTF">2016-08-02T04:35:00Z</dcterms:modified>
</cp:coreProperties>
</file>