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307B" w14:textId="77777777" w:rsidR="00F23C7B" w:rsidRDefault="00F23C7B" w:rsidP="00F23C7B">
      <w:pPr>
        <w:rPr>
          <w:b/>
          <w:sz w:val="20"/>
          <w:szCs w:val="20"/>
        </w:rPr>
      </w:pPr>
    </w:p>
    <w:p w14:paraId="1CEAC69D" w14:textId="77777777" w:rsidR="00F23C7B" w:rsidRDefault="00F23C7B" w:rsidP="00F23C7B">
      <w:pPr>
        <w:rPr>
          <w:b/>
          <w:sz w:val="20"/>
          <w:szCs w:val="20"/>
        </w:rPr>
      </w:pPr>
    </w:p>
    <w:p w14:paraId="75D22609" w14:textId="77777777" w:rsidR="00F23C7B" w:rsidRDefault="00F23C7B" w:rsidP="00F23C7B">
      <w:pPr>
        <w:rPr>
          <w:color w:val="000000" w:themeColor="text1"/>
        </w:rPr>
      </w:pPr>
      <w:r w:rsidRPr="00822374">
        <w:rPr>
          <w:color w:val="000000" w:themeColor="text1"/>
        </w:rPr>
        <w:t>Table 1. Characteristics of the included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653"/>
        <w:gridCol w:w="1856"/>
        <w:gridCol w:w="2910"/>
        <w:gridCol w:w="1079"/>
        <w:gridCol w:w="1047"/>
        <w:gridCol w:w="1562"/>
        <w:gridCol w:w="1143"/>
        <w:gridCol w:w="1547"/>
      </w:tblGrid>
      <w:tr w:rsidR="00F23C7B" w14:paraId="08158CE2" w14:textId="77777777" w:rsidTr="00E15B73">
        <w:trPr>
          <w:trHeight w:val="913"/>
        </w:trPr>
        <w:tc>
          <w:tcPr>
            <w:tcW w:w="0" w:type="auto"/>
          </w:tcPr>
          <w:p w14:paraId="1A0A1F88" w14:textId="77777777" w:rsidR="00F23C7B" w:rsidRPr="00835001" w:rsidRDefault="00F23C7B" w:rsidP="00E15B73">
            <w:pPr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Author, Year</w:t>
            </w:r>
          </w:p>
        </w:tc>
        <w:tc>
          <w:tcPr>
            <w:tcW w:w="0" w:type="auto"/>
          </w:tcPr>
          <w:p w14:paraId="11686C6A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Design</w:t>
            </w:r>
          </w:p>
        </w:tc>
        <w:tc>
          <w:tcPr>
            <w:tcW w:w="0" w:type="auto"/>
          </w:tcPr>
          <w:p w14:paraId="6E13E756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 xml:space="preserve">Inclusion </w:t>
            </w:r>
          </w:p>
          <w:p w14:paraId="0C9EBD5D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Criteria</w:t>
            </w:r>
          </w:p>
        </w:tc>
        <w:tc>
          <w:tcPr>
            <w:tcW w:w="0" w:type="auto"/>
          </w:tcPr>
          <w:p w14:paraId="40D35AA6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Exclusion</w:t>
            </w:r>
          </w:p>
          <w:p w14:paraId="07495F2F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Criteria</w:t>
            </w:r>
          </w:p>
        </w:tc>
        <w:tc>
          <w:tcPr>
            <w:tcW w:w="0" w:type="auto"/>
          </w:tcPr>
          <w:p w14:paraId="24D54F7D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Number of Patients Randomized</w:t>
            </w:r>
          </w:p>
        </w:tc>
        <w:tc>
          <w:tcPr>
            <w:tcW w:w="0" w:type="auto"/>
          </w:tcPr>
          <w:p w14:paraId="265737D7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Type of ICU</w:t>
            </w:r>
          </w:p>
        </w:tc>
        <w:tc>
          <w:tcPr>
            <w:tcW w:w="0" w:type="auto"/>
          </w:tcPr>
          <w:p w14:paraId="7B060D3E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Treatment</w:t>
            </w:r>
          </w:p>
        </w:tc>
        <w:tc>
          <w:tcPr>
            <w:tcW w:w="0" w:type="auto"/>
          </w:tcPr>
          <w:p w14:paraId="3236F112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Comparator</w:t>
            </w:r>
          </w:p>
        </w:tc>
        <w:tc>
          <w:tcPr>
            <w:tcW w:w="0" w:type="auto"/>
          </w:tcPr>
          <w:p w14:paraId="00CB0899" w14:textId="77777777" w:rsidR="00F23C7B" w:rsidRPr="00835001" w:rsidRDefault="00F23C7B" w:rsidP="00E15B73">
            <w:pPr>
              <w:jc w:val="center"/>
              <w:rPr>
                <w:sz w:val="16"/>
                <w:szCs w:val="16"/>
              </w:rPr>
            </w:pPr>
            <w:r w:rsidRPr="00835001">
              <w:rPr>
                <w:sz w:val="16"/>
                <w:szCs w:val="16"/>
              </w:rPr>
              <w:t>Outcomes Reported</w:t>
            </w:r>
          </w:p>
        </w:tc>
      </w:tr>
      <w:tr w:rsidR="00F23C7B" w14:paraId="52E2CF72" w14:textId="77777777" w:rsidTr="00E15B73">
        <w:trPr>
          <w:trHeight w:val="2939"/>
        </w:trPr>
        <w:tc>
          <w:tcPr>
            <w:tcW w:w="0" w:type="auto"/>
          </w:tcPr>
          <w:p w14:paraId="3DCA6F87" w14:textId="77777777" w:rsidR="00F23C7B" w:rsidRPr="00E13035" w:rsidRDefault="00F23C7B" w:rsidP="00E15B73">
            <w:pPr>
              <w:rPr>
                <w:sz w:val="16"/>
                <w:szCs w:val="16"/>
              </w:rPr>
            </w:pPr>
            <w:r w:rsidRPr="00E13035">
              <w:rPr>
                <w:sz w:val="16"/>
                <w:szCs w:val="16"/>
              </w:rPr>
              <w:t>Garrido-Martin, 2012</w:t>
            </w:r>
          </w:p>
        </w:tc>
        <w:tc>
          <w:tcPr>
            <w:tcW w:w="0" w:type="auto"/>
          </w:tcPr>
          <w:p w14:paraId="1A256094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0" w:type="auto"/>
          </w:tcPr>
          <w:p w14:paraId="26F6D759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than 18 years, elective cardiac surgery with cardiopulmonary bypass, no prior anemia, susceptible to treatment, without pre-operative blood transfusion, able to complete all study visits, informed consent</w:t>
            </w:r>
          </w:p>
        </w:tc>
        <w:tc>
          <w:tcPr>
            <w:tcW w:w="0" w:type="auto"/>
          </w:tcPr>
          <w:p w14:paraId="66B0330B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Without cardiopulmonary bypass, treatment with fibrinolytic 48 prior to surgery, history of impaired renal function, previous surgery for endocarditis, re-do surgery, pregnant or lactating, active GI bleeding, vitamin B12 deficit, </w:t>
            </w:r>
            <w:proofErr w:type="spellStart"/>
            <w:r>
              <w:rPr>
                <w:sz w:val="16"/>
                <w:szCs w:val="16"/>
              </w:rPr>
              <w:t>ferropenic</w:t>
            </w:r>
            <w:proofErr w:type="spellEnd"/>
            <w:r>
              <w:rPr>
                <w:sz w:val="16"/>
                <w:szCs w:val="16"/>
              </w:rPr>
              <w:t xml:space="preserve"> anemia, clinical history of asthma or allergy, active infection, included in another clinical study, hepatic disease, history of allergy to iron, unlikely to adhere to protocol follow-up, unable to comply with study protocol</w:t>
            </w:r>
          </w:p>
        </w:tc>
        <w:tc>
          <w:tcPr>
            <w:tcW w:w="0" w:type="auto"/>
          </w:tcPr>
          <w:p w14:paraId="10A3124D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 w:rsidRPr="0085447C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</w:tcPr>
          <w:p w14:paraId="5B01DDA0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 w:rsidRPr="0085447C">
              <w:rPr>
                <w:sz w:val="16"/>
                <w:szCs w:val="16"/>
              </w:rPr>
              <w:t>Cardiac Surgical</w:t>
            </w:r>
          </w:p>
        </w:tc>
        <w:tc>
          <w:tcPr>
            <w:tcW w:w="0" w:type="auto"/>
          </w:tcPr>
          <w:p w14:paraId="71A0322B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arms:</w:t>
            </w:r>
          </w:p>
          <w:p w14:paraId="29B17CCE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3 doses of iron sucrose 100 mg IV TID pre and post-operatively AND oral placebo; placebo continued for 1 month after discharge</w:t>
            </w:r>
          </w:p>
          <w:p w14:paraId="190DB4F1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oral iron for the same period continued for 1 month after discharge AND IV placebo during hospitalization</w:t>
            </w:r>
          </w:p>
          <w:p w14:paraId="3DE34DAE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oral placebo AND IV placebo treatment for the same period</w:t>
            </w:r>
          </w:p>
        </w:tc>
        <w:tc>
          <w:tcPr>
            <w:tcW w:w="0" w:type="auto"/>
          </w:tcPr>
          <w:p w14:paraId="5427D4AA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placebo AND IV placebo as 3</w:t>
            </w:r>
            <w:r w:rsidRPr="00F2286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arm of the trial</w:t>
            </w:r>
          </w:p>
        </w:tc>
        <w:tc>
          <w:tcPr>
            <w:tcW w:w="0" w:type="auto"/>
          </w:tcPr>
          <w:p w14:paraId="17167067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Hematologic parameters, amount of PRBC transfused, number of patients transfused</w:t>
            </w:r>
          </w:p>
        </w:tc>
      </w:tr>
      <w:tr w:rsidR="00F23C7B" w14:paraId="78D0F8A0" w14:textId="77777777" w:rsidTr="00E15B73">
        <w:trPr>
          <w:trHeight w:val="2351"/>
        </w:trPr>
        <w:tc>
          <w:tcPr>
            <w:tcW w:w="0" w:type="auto"/>
          </w:tcPr>
          <w:p w14:paraId="623D32CF" w14:textId="77777777" w:rsidR="00F23C7B" w:rsidRPr="00E13035" w:rsidRDefault="00F23C7B" w:rsidP="00E15B73">
            <w:pPr>
              <w:rPr>
                <w:sz w:val="16"/>
                <w:szCs w:val="16"/>
              </w:rPr>
            </w:pPr>
            <w:r w:rsidRPr="00E13035">
              <w:rPr>
                <w:sz w:val="16"/>
                <w:szCs w:val="16"/>
              </w:rPr>
              <w:t>Litton, 2016</w:t>
            </w:r>
          </w:p>
        </w:tc>
        <w:tc>
          <w:tcPr>
            <w:tcW w:w="0" w:type="auto"/>
          </w:tcPr>
          <w:p w14:paraId="60D32CB4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0" w:type="auto"/>
          </w:tcPr>
          <w:p w14:paraId="2066D8BF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Older than 18 years, ICU admission &lt;48hr, anticipated to require ICU care beyond the next calendar day, had a hemoglobin &lt;100g/L at any time in the preceding 24hr</w:t>
            </w:r>
          </w:p>
        </w:tc>
        <w:tc>
          <w:tcPr>
            <w:tcW w:w="0" w:type="auto"/>
          </w:tcPr>
          <w:p w14:paraId="2495EBAF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Suspected or confirmed severe sepsis, ferritin &gt; 1200ng/mL, or transferrin saturation &gt; 50%, history of haemochromatosis or </w:t>
            </w:r>
            <w:proofErr w:type="spellStart"/>
            <w:r>
              <w:rPr>
                <w:sz w:val="16"/>
                <w:szCs w:val="16"/>
              </w:rPr>
              <w:t>aceruloplasminaemia</w:t>
            </w:r>
            <w:proofErr w:type="spellEnd"/>
            <w:r>
              <w:rPr>
                <w:sz w:val="16"/>
                <w:szCs w:val="16"/>
              </w:rPr>
              <w:t xml:space="preserve">, known administration of IV iron in the preceding 3 months, </w:t>
            </w:r>
            <w:proofErr w:type="spellStart"/>
            <w:r>
              <w:rPr>
                <w:sz w:val="16"/>
                <w:szCs w:val="16"/>
              </w:rPr>
              <w:t>Jehova’s</w:t>
            </w:r>
            <w:proofErr w:type="spellEnd"/>
            <w:r>
              <w:rPr>
                <w:sz w:val="16"/>
                <w:szCs w:val="16"/>
              </w:rPr>
              <w:t xml:space="preserve"> witness or other documented exclusion to receiving blood products, receiving ESA (e.g. epoetin or darbepoetin) in the 3 </w:t>
            </w:r>
            <w:proofErr w:type="spellStart"/>
            <w:r>
              <w:rPr>
                <w:sz w:val="16"/>
                <w:szCs w:val="16"/>
              </w:rPr>
              <w:t>momnths</w:t>
            </w:r>
            <w:proofErr w:type="spellEnd"/>
            <w:r>
              <w:rPr>
                <w:sz w:val="16"/>
                <w:szCs w:val="16"/>
              </w:rPr>
              <w:t xml:space="preserve"> prior to ICU admission, known hypersensitivity to IV iron, pregnancy, treatment intent is palliative, death is deemed imminent and inevitable, weight less than 40kg, participating in competing study</w:t>
            </w:r>
          </w:p>
        </w:tc>
        <w:tc>
          <w:tcPr>
            <w:tcW w:w="0" w:type="auto"/>
          </w:tcPr>
          <w:p w14:paraId="267F5950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</w:tcPr>
          <w:p w14:paraId="7E922980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Medical-</w:t>
            </w:r>
          </w:p>
          <w:p w14:paraId="484F12BA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Surgical</w:t>
            </w:r>
          </w:p>
        </w:tc>
        <w:tc>
          <w:tcPr>
            <w:tcW w:w="0" w:type="auto"/>
          </w:tcPr>
          <w:p w14:paraId="1C8E53E5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arms:</w:t>
            </w:r>
          </w:p>
          <w:p w14:paraId="1B35485E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ferric </w:t>
            </w:r>
            <w:proofErr w:type="spellStart"/>
            <w:r>
              <w:rPr>
                <w:sz w:val="16"/>
                <w:szCs w:val="16"/>
              </w:rPr>
              <w:t>carboxymaltose</w:t>
            </w:r>
            <w:proofErr w:type="spellEnd"/>
            <w:r>
              <w:rPr>
                <w:sz w:val="16"/>
                <w:szCs w:val="16"/>
              </w:rPr>
              <w:t xml:space="preserve"> 500mg IV; re-dosing as per criteria until death, discharge from ICU, or a total of 4 doses</w:t>
            </w:r>
          </w:p>
          <w:p w14:paraId="6625FF42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identical placebo</w:t>
            </w:r>
          </w:p>
        </w:tc>
        <w:tc>
          <w:tcPr>
            <w:tcW w:w="0" w:type="auto"/>
          </w:tcPr>
          <w:p w14:paraId="5ABE8142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placebo</w:t>
            </w:r>
          </w:p>
        </w:tc>
        <w:tc>
          <w:tcPr>
            <w:tcW w:w="0" w:type="auto"/>
          </w:tcPr>
          <w:p w14:paraId="5971AB99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Hematologic parameters, number of PRBC transfused, number of patients transfused, mortality, infection parameters</w:t>
            </w:r>
          </w:p>
        </w:tc>
      </w:tr>
      <w:tr w:rsidR="00F23C7B" w14:paraId="04BC610B" w14:textId="77777777" w:rsidTr="00E15B73">
        <w:trPr>
          <w:trHeight w:val="2646"/>
        </w:trPr>
        <w:tc>
          <w:tcPr>
            <w:tcW w:w="0" w:type="auto"/>
          </w:tcPr>
          <w:p w14:paraId="03DF0F7C" w14:textId="77777777" w:rsidR="00F23C7B" w:rsidRDefault="00F23C7B" w:rsidP="00E15B73">
            <w:r>
              <w:lastRenderedPageBreak/>
              <w:t>Madi-</w:t>
            </w:r>
            <w:proofErr w:type="spellStart"/>
            <w:r>
              <w:t>Jebara</w:t>
            </w:r>
            <w:proofErr w:type="spellEnd"/>
            <w:r>
              <w:t>, 2004</w:t>
            </w:r>
          </w:p>
        </w:tc>
        <w:tc>
          <w:tcPr>
            <w:tcW w:w="0" w:type="auto"/>
          </w:tcPr>
          <w:p w14:paraId="1F61B72E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0" w:type="auto"/>
          </w:tcPr>
          <w:p w14:paraId="02BD1CDB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cardiac surgery with cardiopulmonary bypass with post-pump hemoglobin 7-10g/dL</w:t>
            </w:r>
          </w:p>
        </w:tc>
        <w:tc>
          <w:tcPr>
            <w:tcW w:w="0" w:type="auto"/>
          </w:tcPr>
          <w:p w14:paraId="2C08B96E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Transfusion of allogeneic blood intraoperatively, patients with unstable hemodynamic status after surgery, patients with ejection fraction less than 40%, preoperative anemia from any cause such as renal failure, hypothermic bypass, and contraindication for parenteral iron such as rheumatoid arthritis, history of allergic reactions to iron, hemosiderosis, and liver disease</w:t>
            </w:r>
          </w:p>
        </w:tc>
        <w:tc>
          <w:tcPr>
            <w:tcW w:w="0" w:type="auto"/>
          </w:tcPr>
          <w:p w14:paraId="65BE6975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14:paraId="54E09CB2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Cardiac</w:t>
            </w:r>
          </w:p>
          <w:p w14:paraId="47E847C8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Surgical</w:t>
            </w:r>
          </w:p>
        </w:tc>
        <w:tc>
          <w:tcPr>
            <w:tcW w:w="0" w:type="auto"/>
          </w:tcPr>
          <w:p w14:paraId="3516ABCF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arms:</w:t>
            </w:r>
          </w:p>
          <w:p w14:paraId="41C9EA1C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IV placebo AND SC placebo of r-HUEPO</w:t>
            </w:r>
          </w:p>
          <w:p w14:paraId="7A26F9B4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iron sucrose 200mg/day starting on day 1 to reach a calculated iron deficit AND SC placebo of r-HUEPO</w:t>
            </w:r>
          </w:p>
          <w:p w14:paraId="44465DCF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iron sucrose as per group 2 AND SC r-HUEPO</w:t>
            </w:r>
          </w:p>
        </w:tc>
        <w:tc>
          <w:tcPr>
            <w:tcW w:w="0" w:type="auto"/>
          </w:tcPr>
          <w:p w14:paraId="5A89ABEF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placebo AND SC placebo of r-HUEPO as the 1</w:t>
            </w:r>
            <w:r w:rsidRPr="000D061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arm of the trial</w:t>
            </w:r>
          </w:p>
        </w:tc>
        <w:tc>
          <w:tcPr>
            <w:tcW w:w="0" w:type="auto"/>
          </w:tcPr>
          <w:p w14:paraId="6E95D294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patients transfused, mean number of units transfused per patient, reticulocyte counts (%), serum ferritin levels, hemoglobin levels</w:t>
            </w:r>
          </w:p>
        </w:tc>
      </w:tr>
      <w:tr w:rsidR="00F23C7B" w14:paraId="2203298C" w14:textId="77777777" w:rsidTr="00E15B73">
        <w:trPr>
          <w:trHeight w:val="2854"/>
        </w:trPr>
        <w:tc>
          <w:tcPr>
            <w:tcW w:w="0" w:type="auto"/>
          </w:tcPr>
          <w:p w14:paraId="49E39E6A" w14:textId="77777777" w:rsidR="00F23C7B" w:rsidRDefault="00F23C7B" w:rsidP="00E15B73">
            <w:proofErr w:type="spellStart"/>
            <w:r>
              <w:t>Pierracci</w:t>
            </w:r>
            <w:proofErr w:type="spellEnd"/>
            <w:r>
              <w:t>, 2014</w:t>
            </w:r>
          </w:p>
        </w:tc>
        <w:tc>
          <w:tcPr>
            <w:tcW w:w="0" w:type="auto"/>
          </w:tcPr>
          <w:p w14:paraId="3C4123EC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0" w:type="auto"/>
          </w:tcPr>
          <w:p w14:paraId="2A0BDF4A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diagnosis of trauma, latest hemoglobin &lt;12g/dL, older than 18 years, less than or equal to 72 hours from ICU admission, expected ICU length of stay at least 5 days</w:t>
            </w:r>
          </w:p>
        </w:tc>
        <w:tc>
          <w:tcPr>
            <w:tcW w:w="0" w:type="auto"/>
          </w:tcPr>
          <w:p w14:paraId="2481E975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hemorrhage requiring PRBC transfusion, iron overload (haemochromatosis or </w:t>
            </w:r>
            <w:proofErr w:type="spellStart"/>
            <w:r>
              <w:rPr>
                <w:sz w:val="16"/>
                <w:szCs w:val="16"/>
              </w:rPr>
              <w:t>aceruloplasminaemia</w:t>
            </w:r>
            <w:proofErr w:type="spellEnd"/>
            <w:r>
              <w:rPr>
                <w:sz w:val="16"/>
                <w:szCs w:val="16"/>
              </w:rPr>
              <w:t>, biochemical indictors), active infection, chronic inflammatory conditions, preexisting hematologic disorders, macrocytic anemia, current or recent use of immunosuppressive agents, use of r-HUEPO in the previous 30 days, pregnancy or lactation, legal arrest or incarceration, prohibition of PRBC transfusion, 48hr or more duration of admission to an ICU in a transferring hospital, history of intolerance or hypersensitivity to iron, moribund state in which death was imminent</w:t>
            </w:r>
          </w:p>
        </w:tc>
        <w:tc>
          <w:tcPr>
            <w:tcW w:w="0" w:type="auto"/>
          </w:tcPr>
          <w:p w14:paraId="26E60399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</w:tcPr>
          <w:p w14:paraId="6124D31B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</w:tc>
        <w:tc>
          <w:tcPr>
            <w:tcW w:w="0" w:type="auto"/>
          </w:tcPr>
          <w:p w14:paraId="5CC39A6F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arms:</w:t>
            </w:r>
          </w:p>
          <w:p w14:paraId="5708762E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iron sucrose 100mg IV thrice weekly up to 6 doses or ICU discharge</w:t>
            </w:r>
          </w:p>
          <w:p w14:paraId="7AAAA517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placebo thrice weekly up to 6 doses or ICU discharge</w:t>
            </w:r>
          </w:p>
        </w:tc>
        <w:tc>
          <w:tcPr>
            <w:tcW w:w="0" w:type="auto"/>
          </w:tcPr>
          <w:p w14:paraId="7F8C5026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placebo as the 2</w:t>
            </w:r>
            <w:r w:rsidRPr="00A51620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arm of the trial</w:t>
            </w:r>
          </w:p>
        </w:tc>
        <w:tc>
          <w:tcPr>
            <w:tcW w:w="0" w:type="auto"/>
          </w:tcPr>
          <w:p w14:paraId="44EBB81E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Biochemical iron parameters, hemoglobin concentration, number of PRBC transfused, infection, antibiotic use, ICU and hospital lengths of stay, mortality</w:t>
            </w:r>
          </w:p>
        </w:tc>
      </w:tr>
      <w:tr w:rsidR="00F23C7B" w14:paraId="54216446" w14:textId="77777777" w:rsidTr="00E15B73">
        <w:trPr>
          <w:trHeight w:val="1947"/>
        </w:trPr>
        <w:tc>
          <w:tcPr>
            <w:tcW w:w="0" w:type="auto"/>
          </w:tcPr>
          <w:p w14:paraId="6E5DA0BF" w14:textId="77777777" w:rsidR="00F23C7B" w:rsidRDefault="00F23C7B" w:rsidP="00E15B73">
            <w:r>
              <w:t xml:space="preserve">van </w:t>
            </w:r>
            <w:proofErr w:type="spellStart"/>
            <w:r>
              <w:t>Iperen</w:t>
            </w:r>
            <w:proofErr w:type="spellEnd"/>
            <w:r>
              <w:t>, 2000</w:t>
            </w:r>
          </w:p>
        </w:tc>
        <w:tc>
          <w:tcPr>
            <w:tcW w:w="0" w:type="auto"/>
          </w:tcPr>
          <w:p w14:paraId="18ECA4C4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RCT</w:t>
            </w:r>
          </w:p>
        </w:tc>
        <w:tc>
          <w:tcPr>
            <w:tcW w:w="0" w:type="auto"/>
          </w:tcPr>
          <w:p w14:paraId="4979C3E7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Hemoglobin concentration &lt; 11.2g/dL or &lt;12.1g/dL in the case of cardiac disease, older than 18 years, expected ICU stay of at least 7 days, informed consent, </w:t>
            </w:r>
          </w:p>
        </w:tc>
        <w:tc>
          <w:tcPr>
            <w:tcW w:w="0" w:type="auto"/>
          </w:tcPr>
          <w:p w14:paraId="5F5D4072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Pregnancy, iron deficiency anemia, vitamin B12 deficiency, recent use of </w:t>
            </w:r>
            <w:proofErr w:type="spellStart"/>
            <w:r>
              <w:rPr>
                <w:sz w:val="16"/>
                <w:szCs w:val="16"/>
              </w:rPr>
              <w:t>cytostatics</w:t>
            </w:r>
            <w:proofErr w:type="spellEnd"/>
            <w:r>
              <w:rPr>
                <w:sz w:val="16"/>
                <w:szCs w:val="16"/>
              </w:rPr>
              <w:t xml:space="preserve"> or recent radiotherapy, a life expectancy of &lt;7 days, chronic renal failure, prior use of epoetin alfa</w:t>
            </w:r>
          </w:p>
        </w:tc>
        <w:tc>
          <w:tcPr>
            <w:tcW w:w="0" w:type="auto"/>
          </w:tcPr>
          <w:p w14:paraId="177E32DA" w14:textId="77777777" w:rsidR="00F23C7B" w:rsidRPr="0085447C" w:rsidRDefault="00F23C7B" w:rsidP="00E15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5F719C13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</w:t>
            </w:r>
          </w:p>
          <w:p w14:paraId="247D7EAA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Surgical</w:t>
            </w:r>
          </w:p>
          <w:p w14:paraId="7D70F999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</w:t>
            </w:r>
          </w:p>
          <w:p w14:paraId="72246B79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Neurological</w:t>
            </w:r>
          </w:p>
        </w:tc>
        <w:tc>
          <w:tcPr>
            <w:tcW w:w="0" w:type="auto"/>
          </w:tcPr>
          <w:p w14:paraId="7A3BFBC3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arms:</w:t>
            </w:r>
          </w:p>
          <w:p w14:paraId="6A365CF3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IV folic acid alone</w:t>
            </w:r>
          </w:p>
          <w:p w14:paraId="4298D2E2" w14:textId="77777777" w:rsidR="00F23C7B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IV folic acid AND iron sucrose 20mg IV daily from days 1 to 14</w:t>
            </w:r>
          </w:p>
          <w:p w14:paraId="7BDF048F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IV folic acid AND iron sucrose 20mg IV daily from days 1 to 14 AND epoetin alfa SC on days 1,3,5,7,9</w:t>
            </w:r>
          </w:p>
        </w:tc>
        <w:tc>
          <w:tcPr>
            <w:tcW w:w="0" w:type="auto"/>
          </w:tcPr>
          <w:p w14:paraId="35BEE7B2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folic acid alone as the first arm of the trial</w:t>
            </w:r>
          </w:p>
        </w:tc>
        <w:tc>
          <w:tcPr>
            <w:tcW w:w="0" w:type="auto"/>
          </w:tcPr>
          <w:p w14:paraId="77CB7A57" w14:textId="77777777" w:rsidR="00F23C7B" w:rsidRPr="0085447C" w:rsidRDefault="00F23C7B" w:rsidP="00E15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Reticulocyte count, hemoglobin concentration, serum EPO concentration, biochemical iron parameters, CRP levels</w:t>
            </w:r>
          </w:p>
        </w:tc>
      </w:tr>
    </w:tbl>
    <w:p w14:paraId="7EA6DE5C" w14:textId="77777777" w:rsidR="00D43903" w:rsidRDefault="00F23C7B">
      <w:bookmarkStart w:id="0" w:name="_GoBack"/>
      <w:bookmarkEnd w:id="0"/>
    </w:p>
    <w:sectPr w:rsidR="00D43903" w:rsidSect="00F23C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7B"/>
    <w:rsid w:val="002975F4"/>
    <w:rsid w:val="003113FB"/>
    <w:rsid w:val="00312342"/>
    <w:rsid w:val="00320463"/>
    <w:rsid w:val="003D6D89"/>
    <w:rsid w:val="004F7B12"/>
    <w:rsid w:val="00502AAB"/>
    <w:rsid w:val="00693583"/>
    <w:rsid w:val="00812A00"/>
    <w:rsid w:val="008E11C7"/>
    <w:rsid w:val="00976787"/>
    <w:rsid w:val="009E781A"/>
    <w:rsid w:val="00A3022A"/>
    <w:rsid w:val="00A64524"/>
    <w:rsid w:val="00A9650A"/>
    <w:rsid w:val="00B06251"/>
    <w:rsid w:val="00B10F39"/>
    <w:rsid w:val="00B24B08"/>
    <w:rsid w:val="00BA036D"/>
    <w:rsid w:val="00C0704E"/>
    <w:rsid w:val="00C6652D"/>
    <w:rsid w:val="00C9570A"/>
    <w:rsid w:val="00DC3493"/>
    <w:rsid w:val="00F23C7B"/>
    <w:rsid w:val="00F37A18"/>
    <w:rsid w:val="00F9725E"/>
    <w:rsid w:val="00FB502D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5A8B4"/>
  <w15:chartTrackingRefBased/>
  <w15:docId w15:val="{1ECE3619-71B9-5A42-95D0-54796857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7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4367</Characters>
  <Application>Microsoft Office Word</Application>
  <DocSecurity>0</DocSecurity>
  <Lines>65</Lines>
  <Paragraphs>9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Michael</dc:creator>
  <cp:keywords/>
  <dc:description/>
  <cp:lastModifiedBy>Hickey, Michael</cp:lastModifiedBy>
  <cp:revision>1</cp:revision>
  <dcterms:created xsi:type="dcterms:W3CDTF">2019-05-23T17:03:00Z</dcterms:created>
  <dcterms:modified xsi:type="dcterms:W3CDTF">2019-05-23T17:06:00Z</dcterms:modified>
</cp:coreProperties>
</file>