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FC" w:rsidRDefault="009E52FC" w:rsidP="009E52FC">
      <w:pPr>
        <w:keepNext/>
      </w:pPr>
      <w:r w:rsidRPr="007472E9">
        <w:rPr>
          <w:noProof/>
          <w:lang w:eastAsia="en-GB"/>
        </w:rPr>
        <w:drawing>
          <wp:inline distT="0" distB="0" distL="0" distR="0" wp14:anchorId="16AEAAED" wp14:editId="45DFF3F4">
            <wp:extent cx="5715000" cy="5715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2FC" w:rsidRPr="007B76E0" w:rsidRDefault="009E52FC" w:rsidP="009E52FC">
      <w:pPr>
        <w:pStyle w:val="Caption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Figure</w:t>
      </w:r>
      <w:r w:rsidRPr="007B76E0">
        <w:rPr>
          <w:i w:val="0"/>
          <w:noProof/>
          <w:color w:val="auto"/>
          <w:sz w:val="24"/>
          <w:szCs w:val="24"/>
        </w:rPr>
        <w:t>:</w:t>
      </w:r>
      <w:r w:rsidRPr="007B76E0">
        <w:rPr>
          <w:i w:val="0"/>
          <w:color w:val="auto"/>
          <w:sz w:val="24"/>
          <w:szCs w:val="24"/>
        </w:rPr>
        <w:t xml:space="preserve"> Summary receiver operating characteristic (SROC) plot of C-reactive protein for neonatal infection. Study estimates of sensitivity and specificity are shown with the SROC curve.</w:t>
      </w:r>
    </w:p>
    <w:p w:rsidR="00763530" w:rsidRDefault="009E52FC">
      <w:bookmarkStart w:id="0" w:name="_GoBack"/>
      <w:bookmarkEnd w:id="0"/>
    </w:p>
    <w:sectPr w:rsidR="00763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FC"/>
    <w:rsid w:val="00381DF8"/>
    <w:rsid w:val="009E52FC"/>
    <w:rsid w:val="00C6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C90A9-11F1-4130-81A7-3A9D8392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E52FC"/>
    <w:pPr>
      <w:spacing w:after="200" w:line="240" w:lineRule="auto"/>
      <w:jc w:val="both"/>
    </w:pPr>
    <w:rPr>
      <w:rFonts w:ascii="Times New Roman" w:hAnsi="Times New Roman" w:cs="Times New Roman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Brown</dc:creator>
  <cp:keywords/>
  <dc:description/>
  <cp:lastModifiedBy>Jennifer Brown</cp:lastModifiedBy>
  <cp:revision>1</cp:revision>
  <dcterms:created xsi:type="dcterms:W3CDTF">2019-04-17T09:49:00Z</dcterms:created>
  <dcterms:modified xsi:type="dcterms:W3CDTF">2019-04-17T09:49:00Z</dcterms:modified>
</cp:coreProperties>
</file>