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AD" w:rsidRPr="00212CAD"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b/>
          <w:bCs/>
          <w:color w:val="5B5757"/>
          <w:sz w:val="20"/>
          <w:szCs w:val="20"/>
        </w:rPr>
        <w:t>2</w:t>
      </w:r>
      <w:r w:rsidRPr="00212CAD">
        <w:rPr>
          <w:rFonts w:ascii="Arial" w:eastAsia="Times New Roman" w:hAnsi="Arial" w:cs="Arial"/>
          <w:b/>
          <w:bCs/>
          <w:color w:val="5B5757"/>
          <w:sz w:val="20"/>
          <w:szCs w:val="20"/>
        </w:rPr>
        <w:t>018 NISBRE Abstract Submission Guidelines</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212CAD">
        <w:rPr>
          <w:rFonts w:ascii="Arial" w:eastAsia="Times New Roman" w:hAnsi="Arial" w:cs="Arial"/>
          <w:color w:val="5B5757"/>
          <w:sz w:val="20"/>
          <w:szCs w:val="20"/>
        </w:rPr>
        <w:t>Submission Deadline: May 1, 2018</w:t>
      </w:r>
      <w:r w:rsidRPr="00004772">
        <w:rPr>
          <w:rFonts w:ascii="Arial" w:eastAsia="Times New Roman" w:hAnsi="Arial" w:cs="Arial"/>
          <w:color w:val="5B5757"/>
          <w:sz w:val="20"/>
          <w:szCs w:val="20"/>
        </w:rPr>
        <w:t> </w:t>
      </w:r>
      <w:bookmarkStart w:id="0" w:name="_GoBack"/>
      <w:bookmarkEnd w:id="0"/>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This call for abstracts is intended for the National IDeA Symposium of Biomedical Research Excellence (NISBRE). Abstracts will be accepted via electronic submission.</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Each abstract should be divided into four subheadings:</w:t>
      </w:r>
    </w:p>
    <w:p w:rsidR="00212CAD" w:rsidRPr="00004772" w:rsidRDefault="00212CAD" w:rsidP="00212CAD">
      <w:pPr>
        <w:numPr>
          <w:ilvl w:val="0"/>
          <w:numId w:val="1"/>
        </w:num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Background and Objective</w:t>
      </w:r>
    </w:p>
    <w:p w:rsidR="00212CAD" w:rsidRPr="00004772" w:rsidRDefault="00212CAD" w:rsidP="00212CAD">
      <w:pPr>
        <w:numPr>
          <w:ilvl w:val="0"/>
          <w:numId w:val="1"/>
        </w:num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Methods</w:t>
      </w:r>
    </w:p>
    <w:p w:rsidR="00212CAD" w:rsidRPr="00004772" w:rsidRDefault="00212CAD" w:rsidP="00212CAD">
      <w:pPr>
        <w:numPr>
          <w:ilvl w:val="0"/>
          <w:numId w:val="1"/>
        </w:num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Results</w:t>
      </w:r>
    </w:p>
    <w:p w:rsidR="00212CAD" w:rsidRPr="00004772" w:rsidRDefault="00212CAD" w:rsidP="00212CAD">
      <w:pPr>
        <w:numPr>
          <w:ilvl w:val="0"/>
          <w:numId w:val="1"/>
        </w:num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Discussion and Conclusions</w:t>
      </w:r>
    </w:p>
    <w:p w:rsidR="00212CAD" w:rsidRPr="00004772" w:rsidRDefault="00212CAD" w:rsidP="00212CAD">
      <w:pPr>
        <w:spacing w:before="100" w:beforeAutospacing="1" w:after="240"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Abstracts will be categorized into areas of scientific focus for presentation and review.  If your work does not correspond with one of the designated focus areas, please select the “Other” category. </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b/>
          <w:bCs/>
          <w:color w:val="5B5757"/>
          <w:sz w:val="20"/>
          <w:szCs w:val="20"/>
        </w:rPr>
        <w:t>Scientific Focus Areas:</w:t>
      </w:r>
    </w:p>
    <w:p w:rsidR="00212CAD" w:rsidRPr="00004772" w:rsidRDefault="00212CAD" w:rsidP="00212CAD">
      <w:pPr>
        <w:spacing w:after="100"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Bioengineering/Biotechnology/Nanotechnology</w:t>
      </w:r>
      <w:r w:rsidRPr="00004772">
        <w:rPr>
          <w:rFonts w:ascii="Arial" w:eastAsia="Times New Roman" w:hAnsi="Arial" w:cs="Arial"/>
          <w:color w:val="5B5757"/>
          <w:sz w:val="20"/>
          <w:szCs w:val="20"/>
        </w:rPr>
        <w:br/>
        <w:t>Cancer</w:t>
      </w:r>
      <w:r w:rsidRPr="00004772">
        <w:rPr>
          <w:rFonts w:ascii="Arial" w:eastAsia="Times New Roman" w:hAnsi="Arial" w:cs="Arial"/>
          <w:color w:val="5B5757"/>
          <w:sz w:val="20"/>
          <w:szCs w:val="20"/>
        </w:rPr>
        <w:br/>
        <w:t>Cardiovascular Disease</w:t>
      </w:r>
      <w:r w:rsidRPr="00004772">
        <w:rPr>
          <w:rFonts w:ascii="Arial" w:eastAsia="Times New Roman" w:hAnsi="Arial" w:cs="Arial"/>
          <w:color w:val="5B5757"/>
          <w:sz w:val="20"/>
          <w:szCs w:val="20"/>
        </w:rPr>
        <w:br/>
        <w:t>Core Facility</w:t>
      </w:r>
      <w:r w:rsidRPr="00004772">
        <w:rPr>
          <w:rFonts w:ascii="Arial" w:eastAsia="Times New Roman" w:hAnsi="Arial" w:cs="Arial"/>
          <w:color w:val="5B5757"/>
          <w:sz w:val="20"/>
          <w:szCs w:val="20"/>
        </w:rPr>
        <w:br/>
        <w:t>Genetics, Omics</w:t>
      </w:r>
      <w:r w:rsidRPr="00004772">
        <w:rPr>
          <w:rFonts w:ascii="Arial" w:eastAsia="Times New Roman" w:hAnsi="Arial" w:cs="Arial"/>
          <w:color w:val="5B5757"/>
          <w:sz w:val="20"/>
          <w:szCs w:val="20"/>
        </w:rPr>
        <w:br/>
        <w:t>Infectious Disease and Immunology</w:t>
      </w:r>
      <w:r w:rsidRPr="00004772">
        <w:rPr>
          <w:rFonts w:ascii="Arial" w:eastAsia="Times New Roman" w:hAnsi="Arial" w:cs="Arial"/>
          <w:color w:val="5B5757"/>
          <w:sz w:val="20"/>
          <w:szCs w:val="20"/>
        </w:rPr>
        <w:br/>
        <w:t>Neuroscience</w:t>
      </w:r>
      <w:r w:rsidRPr="00004772">
        <w:rPr>
          <w:rFonts w:ascii="Arial" w:eastAsia="Times New Roman" w:hAnsi="Arial" w:cs="Arial"/>
          <w:color w:val="5B5757"/>
          <w:sz w:val="20"/>
          <w:szCs w:val="20"/>
        </w:rPr>
        <w:br/>
        <w:t>Integrative Medicine</w:t>
      </w:r>
      <w:r w:rsidRPr="00004772">
        <w:rPr>
          <w:rFonts w:ascii="Arial" w:eastAsia="Times New Roman" w:hAnsi="Arial" w:cs="Arial"/>
          <w:color w:val="5B5757"/>
          <w:sz w:val="20"/>
          <w:szCs w:val="20"/>
        </w:rPr>
        <w:br/>
        <w:t>Other</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 </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Size:  </w:t>
      </w:r>
      <w:r w:rsidRPr="00004772">
        <w:rPr>
          <w:rFonts w:ascii="Arial" w:eastAsia="Times New Roman" w:hAnsi="Arial" w:cs="Arial"/>
          <w:b/>
          <w:bCs/>
          <w:color w:val="5B5757"/>
          <w:sz w:val="20"/>
          <w:szCs w:val="20"/>
        </w:rPr>
        <w:t>Abstract size is limited to 250 words including title, author(s), affiliation(s), and text.</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Format: Use an Arial 11 pt. font; set 1” margins on all sides, single space only; do not use text boxes, special characters or symbols as they will not be displayed properly on the abstract form.  Tables, figures and diagrams should not be used. </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Authors: The presenting author will be the primary contact for this abstract, will receive email notifications regarding iPoster creation, and be responsible for giving the oral and/or poster presentation. The abstract’s Presenting Author will receive email notification of the acceptance of the abstract for either an oral presentation or a poster presentation no later than </w:t>
      </w:r>
      <w:r w:rsidRPr="00004772">
        <w:rPr>
          <w:rFonts w:ascii="Arial" w:eastAsia="Times New Roman" w:hAnsi="Arial" w:cs="Arial"/>
          <w:b/>
          <w:bCs/>
          <w:color w:val="5B5757"/>
          <w:sz w:val="20"/>
          <w:szCs w:val="20"/>
        </w:rPr>
        <w:t>May 20</w:t>
      </w:r>
      <w:r w:rsidRPr="00004772">
        <w:rPr>
          <w:rFonts w:ascii="Arial" w:eastAsia="Times New Roman" w:hAnsi="Arial" w:cs="Arial"/>
          <w:color w:val="5B5757"/>
          <w:sz w:val="20"/>
          <w:szCs w:val="20"/>
        </w:rPr>
        <w:t>.  The presenting author is responsible to contact other authors regarding the status of the abstract.</w:t>
      </w:r>
    </w:p>
    <w:p w:rsidR="00212CAD" w:rsidRPr="00004772" w:rsidRDefault="00212CAD" w:rsidP="00212CAD">
      <w:pPr>
        <w:spacing w:before="100" w:beforeAutospacing="1" w:after="100" w:afterAutospacing="1" w:line="240" w:lineRule="auto"/>
        <w:rPr>
          <w:rFonts w:ascii="Arial" w:eastAsia="Times New Roman" w:hAnsi="Arial" w:cs="Arial"/>
          <w:color w:val="5B5757"/>
          <w:sz w:val="20"/>
          <w:szCs w:val="20"/>
        </w:rPr>
      </w:pPr>
      <w:r w:rsidRPr="00004772">
        <w:rPr>
          <w:rFonts w:ascii="Arial" w:eastAsia="Times New Roman" w:hAnsi="Arial" w:cs="Arial"/>
          <w:color w:val="5B5757"/>
          <w:sz w:val="20"/>
          <w:szCs w:val="20"/>
        </w:rPr>
        <w:t>Affiliations: Include department and institutional affiliations of each author on the project. </w:t>
      </w:r>
    </w:p>
    <w:p w:rsidR="00427BE1" w:rsidRDefault="00212CAD" w:rsidP="00212CAD">
      <w:r w:rsidRPr="00004772">
        <w:rPr>
          <w:rFonts w:ascii="Arial" w:eastAsia="Times New Roman" w:hAnsi="Arial" w:cs="Arial"/>
          <w:color w:val="5B5757"/>
          <w:sz w:val="20"/>
          <w:szCs w:val="20"/>
        </w:rPr>
        <w:t>Grant support: Acknowledgement of grant support should be given at the end of the abstract</w:t>
      </w:r>
      <w:r w:rsidRPr="00004772">
        <w:rPr>
          <w:rFonts w:ascii="Arial" w:eastAsia="Times New Roman" w:hAnsi="Arial" w:cs="Arial"/>
          <w:b/>
          <w:bCs/>
          <w:color w:val="5B5757"/>
          <w:sz w:val="20"/>
          <w:szCs w:val="20"/>
        </w:rPr>
        <w:t> and will not count against the 250 word limit</w:t>
      </w:r>
      <w:r w:rsidRPr="00004772">
        <w:rPr>
          <w:rFonts w:ascii="Arial" w:eastAsia="Times New Roman" w:hAnsi="Arial" w:cs="Arial"/>
          <w:color w:val="5B5757"/>
          <w:sz w:val="20"/>
          <w:szCs w:val="20"/>
        </w:rPr>
        <w:t>.</w:t>
      </w:r>
    </w:p>
    <w:sectPr w:rsidR="00427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5F9A"/>
    <w:multiLevelType w:val="multilevel"/>
    <w:tmpl w:val="E70C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AD"/>
    <w:rsid w:val="0015130C"/>
    <w:rsid w:val="00212CAD"/>
    <w:rsid w:val="009D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F13D5-4A75-455B-B50A-E8956F9B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Heiata Chapman</dc:creator>
  <cp:keywords/>
  <dc:description/>
  <cp:lastModifiedBy>Heiata Chapman</cp:lastModifiedBy>
  <cp:revision>1</cp:revision>
  <dcterms:created xsi:type="dcterms:W3CDTF">2018-01-24T23:24:00Z</dcterms:created>
  <dcterms:modified xsi:type="dcterms:W3CDTF">2018-01-24T23:25:00Z</dcterms:modified>
</cp:coreProperties>
</file>